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A14" w:rsidRDefault="00B85A1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85A14" w:rsidRDefault="00B85A14">
      <w:pPr>
        <w:pStyle w:val="ConsPlusNormal"/>
        <w:jc w:val="both"/>
        <w:outlineLvl w:val="0"/>
      </w:pPr>
    </w:p>
    <w:p w:rsidR="00B85A14" w:rsidRDefault="00B85A14">
      <w:pPr>
        <w:pStyle w:val="ConsPlusNormal"/>
        <w:outlineLvl w:val="0"/>
      </w:pPr>
      <w:r>
        <w:t>Зарегистрировано в Минюсте России 31 января 2022 г. N 67059</w:t>
      </w:r>
    </w:p>
    <w:p w:rsidR="00B85A14" w:rsidRDefault="00B85A1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85A14" w:rsidRDefault="00B85A14">
      <w:pPr>
        <w:pStyle w:val="ConsPlusNormal"/>
      </w:pPr>
    </w:p>
    <w:p w:rsidR="00B85A14" w:rsidRDefault="00B85A14">
      <w:pPr>
        <w:pStyle w:val="ConsPlusTitle"/>
        <w:jc w:val="center"/>
      </w:pPr>
      <w:r>
        <w:t>МИНИСТЕРСТВО ФИНАНСОВ РОССИЙСКОЙ ФЕДЕРАЦИИ</w:t>
      </w:r>
    </w:p>
    <w:p w:rsidR="00B85A14" w:rsidRDefault="00B85A14">
      <w:pPr>
        <w:pStyle w:val="ConsPlusTitle"/>
        <w:jc w:val="center"/>
      </w:pPr>
    </w:p>
    <w:p w:rsidR="00B85A14" w:rsidRDefault="00B85A14">
      <w:pPr>
        <w:pStyle w:val="ConsPlusTitle"/>
        <w:jc w:val="center"/>
      </w:pPr>
      <w:r>
        <w:t>ФЕДЕРАЛЬНОЕ КАЗНАЧЕЙСТВО</w:t>
      </w:r>
    </w:p>
    <w:p w:rsidR="00B85A14" w:rsidRDefault="00B85A14">
      <w:pPr>
        <w:pStyle w:val="ConsPlusTitle"/>
        <w:jc w:val="center"/>
      </w:pPr>
    </w:p>
    <w:p w:rsidR="00B85A14" w:rsidRDefault="00B85A14">
      <w:pPr>
        <w:pStyle w:val="ConsPlusTitle"/>
        <w:jc w:val="center"/>
      </w:pPr>
      <w:r>
        <w:t>ПРИКАЗ</w:t>
      </w:r>
    </w:p>
    <w:p w:rsidR="00B85A14" w:rsidRDefault="00B85A14">
      <w:pPr>
        <w:pStyle w:val="ConsPlusTitle"/>
        <w:jc w:val="center"/>
      </w:pPr>
      <w:r>
        <w:t>от 15 декабря 2021 г. N 40н</w:t>
      </w:r>
    </w:p>
    <w:p w:rsidR="00B85A14" w:rsidRDefault="00B85A14">
      <w:pPr>
        <w:pStyle w:val="ConsPlusTitle"/>
        <w:jc w:val="center"/>
      </w:pPr>
    </w:p>
    <w:p w:rsidR="00B85A14" w:rsidRDefault="00B85A14">
      <w:pPr>
        <w:pStyle w:val="ConsPlusTitle"/>
        <w:jc w:val="center"/>
      </w:pPr>
      <w:r>
        <w:t>ОБ УТВЕРЖДЕНИИ ПОРЯДКА</w:t>
      </w:r>
    </w:p>
    <w:p w:rsidR="00B85A14" w:rsidRDefault="00B85A14">
      <w:pPr>
        <w:pStyle w:val="ConsPlusTitle"/>
        <w:jc w:val="center"/>
      </w:pPr>
      <w:r>
        <w:t>КАЗНАЧЕЙСКОГО ОБСЛУЖИВАНИЯ ОПЕРАЦИЙ СО СРЕДСТВАМИ УЧАСТНИКОВ</w:t>
      </w:r>
    </w:p>
    <w:p w:rsidR="00B85A14" w:rsidRDefault="00B85A14">
      <w:pPr>
        <w:pStyle w:val="ConsPlusTitle"/>
        <w:jc w:val="center"/>
      </w:pPr>
      <w:r>
        <w:t>КАЗНАЧЕЙСКОГО СОПРОВОЖДЕНИЯ</w:t>
      </w:r>
    </w:p>
    <w:p w:rsidR="00B85A14" w:rsidRDefault="00B85A1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85A1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A14" w:rsidRDefault="00B85A1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A14" w:rsidRDefault="00B85A1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5A14" w:rsidRDefault="00B85A1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85A14" w:rsidRDefault="00B85A1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01.10.2025 N 13н)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A14" w:rsidRDefault="00B85A14">
            <w:pPr>
              <w:pStyle w:val="ConsPlusNormal"/>
            </w:pPr>
          </w:p>
        </w:tc>
      </w:tr>
    </w:tbl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1 статьи 242.19-1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2021, N 27, ст. 5072) приказываю: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3">
        <w:r>
          <w:rPr>
            <w:color w:val="0000FF"/>
          </w:rPr>
          <w:t>Порядок</w:t>
        </w:r>
      </w:hyperlink>
      <w:r>
        <w:t xml:space="preserve"> казначейского обслуживания операций со средствами участников казначейского сопровождения согласно приложению к настоящему приказу.</w:t>
      </w: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jc w:val="right"/>
      </w:pPr>
      <w:r>
        <w:t>Руководитель</w:t>
      </w:r>
    </w:p>
    <w:p w:rsidR="00B85A14" w:rsidRDefault="00B85A14">
      <w:pPr>
        <w:pStyle w:val="ConsPlusNormal"/>
        <w:jc w:val="right"/>
      </w:pPr>
      <w:r>
        <w:t>Р.Е.АРТЮХИН</w:t>
      </w: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jc w:val="right"/>
        <w:outlineLvl w:val="0"/>
      </w:pPr>
      <w:r>
        <w:t>Приложение</w:t>
      </w:r>
    </w:p>
    <w:p w:rsidR="00B85A14" w:rsidRDefault="00B85A14">
      <w:pPr>
        <w:pStyle w:val="ConsPlusNormal"/>
        <w:jc w:val="right"/>
      </w:pPr>
    </w:p>
    <w:p w:rsidR="00B85A14" w:rsidRDefault="00B85A14">
      <w:pPr>
        <w:pStyle w:val="ConsPlusNormal"/>
        <w:jc w:val="right"/>
      </w:pPr>
      <w:r>
        <w:t>Утвержден</w:t>
      </w:r>
    </w:p>
    <w:p w:rsidR="00B85A14" w:rsidRDefault="00B85A14">
      <w:pPr>
        <w:pStyle w:val="ConsPlusNormal"/>
        <w:jc w:val="right"/>
      </w:pPr>
      <w:r>
        <w:t>приказом Федерального казначейства</w:t>
      </w:r>
    </w:p>
    <w:p w:rsidR="00B85A14" w:rsidRDefault="00B85A14">
      <w:pPr>
        <w:pStyle w:val="ConsPlusNormal"/>
        <w:jc w:val="right"/>
      </w:pPr>
      <w:r>
        <w:t>от 15 декабря 2021 г. N 40н</w:t>
      </w:r>
    </w:p>
    <w:p w:rsidR="00B85A14" w:rsidRDefault="00B85A14">
      <w:pPr>
        <w:pStyle w:val="ConsPlusNormal"/>
        <w:jc w:val="right"/>
      </w:pPr>
    </w:p>
    <w:p w:rsidR="00B85A14" w:rsidRDefault="00B85A14">
      <w:pPr>
        <w:pStyle w:val="ConsPlusTitle"/>
        <w:jc w:val="center"/>
      </w:pPr>
      <w:bookmarkStart w:id="0" w:name="P33"/>
      <w:bookmarkEnd w:id="0"/>
      <w:r>
        <w:t>ПОРЯДОК</w:t>
      </w:r>
    </w:p>
    <w:p w:rsidR="00B85A14" w:rsidRDefault="00B85A14">
      <w:pPr>
        <w:pStyle w:val="ConsPlusTitle"/>
        <w:jc w:val="center"/>
      </w:pPr>
      <w:r>
        <w:t>КАЗНАЧЕЙСКОГО ОБСЛУЖИВАНИЯ ОПЕРАЦИЙ СО СРЕДСТВАМИ УЧАСТНИКОВ</w:t>
      </w:r>
    </w:p>
    <w:p w:rsidR="00B85A14" w:rsidRDefault="00B85A14">
      <w:pPr>
        <w:pStyle w:val="ConsPlusTitle"/>
        <w:jc w:val="center"/>
      </w:pPr>
      <w:r>
        <w:t>КАЗНАЧЕЙСКОГО СОПРОВОЖДЕНИЯ</w:t>
      </w:r>
    </w:p>
    <w:p w:rsidR="00B85A14" w:rsidRDefault="00B85A1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85A1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A14" w:rsidRDefault="00B85A1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A14" w:rsidRDefault="00B85A1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5A14" w:rsidRDefault="00B85A1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85A14" w:rsidRDefault="00B85A1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01.10.2025 N 13н)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A14" w:rsidRDefault="00B85A14">
            <w:pPr>
              <w:pStyle w:val="ConsPlusNormal"/>
            </w:pPr>
          </w:p>
        </w:tc>
      </w:tr>
    </w:tbl>
    <w:p w:rsidR="00B85A14" w:rsidRDefault="00B85A14">
      <w:pPr>
        <w:pStyle w:val="ConsPlusNormal"/>
        <w:jc w:val="center"/>
      </w:pPr>
    </w:p>
    <w:p w:rsidR="00B85A14" w:rsidRDefault="00B85A14">
      <w:pPr>
        <w:pStyle w:val="ConsPlusNormal"/>
        <w:ind w:firstLine="540"/>
        <w:jc w:val="both"/>
      </w:pPr>
      <w:r>
        <w:t xml:space="preserve">1. Настоящий Порядок казначейского обслуживания операций со средствами участников казначейского сопровождения (далее - Порядок) разработан в соответствии с </w:t>
      </w:r>
      <w:hyperlink r:id="rId8">
        <w:r>
          <w:rPr>
            <w:color w:val="0000FF"/>
          </w:rPr>
          <w:t>пунктом 1 статьи 242.19-1</w:t>
        </w:r>
      </w:hyperlink>
      <w:r>
        <w:t xml:space="preserve"> Бюджетного кодекса Российской Федерации (далее - Бюджетный кодекс) и устанавливает порядок казначейского обслуживания операций с целевыми средствами участников казначейского сопровождения, подлежащими казначейскому сопровождению в соответствии со </w:t>
      </w:r>
      <w:hyperlink r:id="rId9">
        <w:r>
          <w:rPr>
            <w:color w:val="0000FF"/>
          </w:rPr>
          <w:t>статьями 242.25</w:t>
        </w:r>
      </w:hyperlink>
      <w:r>
        <w:t xml:space="preserve"> и </w:t>
      </w:r>
      <w:hyperlink r:id="rId10">
        <w:r>
          <w:rPr>
            <w:color w:val="0000FF"/>
          </w:rPr>
          <w:t>242.26</w:t>
        </w:r>
      </w:hyperlink>
      <w:r>
        <w:t xml:space="preserve"> Бюджетного кодекса (далее - целевые средства).</w:t>
      </w:r>
    </w:p>
    <w:p w:rsidR="00B85A14" w:rsidRDefault="00B85A14">
      <w:pPr>
        <w:pStyle w:val="ConsPlusNormal"/>
        <w:jc w:val="both"/>
      </w:pPr>
      <w:r>
        <w:lastRenderedPageBreak/>
        <w:t xml:space="preserve">(п. 1 в ред. </w:t>
      </w:r>
      <w:hyperlink r:id="rId11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2. Казначейское обслуживание операций со средствами участников казначейского сопровождения осуществляется территориальными органами Федерального казначейства.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3. При казначейском обслуживании операций со средствами участников казначейского сопровождения территориальные органы Федерального казначейства по поручению участника казначейского сопровождения, являющегося прямым участником системы казначейских платежей (далее - клиент), за исключением случаев, установленных бюджетным законодательством Российской Федерации, финансового органа субъекта Российской Федерации (муниципального образования) проводят в системе казначейских платежей операции с их отражением на соответствующих казначейских счетах для осуществления и отражения операций участников казначейского сопровождения.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4. При казначейском обслуживании операций со средствами участников казначейского сопровождения информационный обмен между клиентом/финансовым органом субъекта Российской Федерации (муниципального образования)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клиента, финансового органа субъекта Российской Федерации (муниципального образования) (далее соответственно - электронный вид, электронная подпись).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3">
        <w:r>
          <w:rPr>
            <w:color w:val="0000FF"/>
          </w:rPr>
          <w:t>Приказ</w:t>
        </w:r>
      </w:hyperlink>
      <w:r>
        <w:t xml:space="preserve"> Казначейства России от 01.10.2025 N 13н.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При казначейском обслуживании операций со средствами участников казначейского сопровождения документооборот, содержащий сведения, составляющие государственную тайну, либо информацию ограниченного доступа, не содержащую сведения, составляющие государственную тайну, осуществляется с соблюдением требований законодательства Российской Федерации в области защиты государственной и иной охраняемой законом тайны.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5. Казначейское обслуживание операций со средствами клиента, осуществляется территориальными органами Федерального казначейства в пределах остатков средств, учтенных на соответствующих аналитических разделах, открываемых в разрезе каждого государственного (муниципального) контракта о поставке товаров, выполнении работ, оказании услуг (далее - государственный (муниципальный) контракт), договора (соглашения) о предоставлении субсидии, договора о предоставлении бюджетной инвестиции в соответствии со </w:t>
      </w:r>
      <w:hyperlink r:id="rId15">
        <w:r>
          <w:rPr>
            <w:color w:val="0000FF"/>
          </w:rPr>
          <w:t>статьей 80</w:t>
        </w:r>
      </w:hyperlink>
      <w:r>
        <w:t xml:space="preserve"> Бюджетного кодекса, договора о предоставлении взноса в уставный (складочный) капитал (вклада в имущество) юридического лица (его дочернего общества), источником финансового обеспечения исполнения которого являются указанные субсидии и бюджетные инвестиции (далее - договор (соглашение), контракта (договора)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указанных государственных (муниципальных) контрактов, договоров (соглашений) (далее - контракт (договор), на лицевом счете, предназначенном для учета операций со средствами участника казначейского сопровождения, открытом в территориальном органе Федерального казначейства (далее - лицевой счет (раздел на лицевом счете).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6. Положения настоящего Порядка, установленные для: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договоров (соглашений), распространяются на концессионные соглашения, соглашения о государственно-частном партнерстве (муниципально-частном партнерстве), если федеральными законами и решениями Правительства Российской Федерации предусмотрены требования об осуществлении казначейского сопровождения средств, предоставляемых на основании таких </w:t>
      </w:r>
      <w:r>
        <w:lastRenderedPageBreak/>
        <w:t>соглашений;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участников казначейского сопровождения, распространяются также на обособленные подразделения юридических лиц.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7. Казначейские платежи клиента осуществляются после санкционирования территориальными органами Федерального казначейства операций в порядке, установленном Министерством финансов Российской Федерации на основании </w:t>
      </w:r>
      <w:hyperlink r:id="rId17">
        <w:r>
          <w:rPr>
            <w:color w:val="0000FF"/>
          </w:rPr>
          <w:t>пункта 4 статьи 242.23</w:t>
        </w:r>
      </w:hyperlink>
      <w:r>
        <w:t xml:space="preserve"> Бюджетного кодекса (далее - порядок санкционирования), и проведения территориальными органами Федерального казначейства казначейского мониторинга в системе казначейских платежей в порядке, установленном Правительством Российской Федерации в соответствии со </w:t>
      </w:r>
      <w:hyperlink r:id="rId18">
        <w:r>
          <w:rPr>
            <w:color w:val="0000FF"/>
          </w:rPr>
          <w:t>статьей 242.13-1</w:t>
        </w:r>
      </w:hyperlink>
      <w:r>
        <w:t xml:space="preserve"> Бюджетного кодекса.</w:t>
      </w:r>
    </w:p>
    <w:p w:rsidR="00B85A14" w:rsidRDefault="00B85A14">
      <w:pPr>
        <w:pStyle w:val="ConsPlusNormal"/>
        <w:jc w:val="both"/>
      </w:pPr>
      <w:r>
        <w:t xml:space="preserve">(п. 7 в ред. </w:t>
      </w:r>
      <w:hyperlink r:id="rId19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bookmarkStart w:id="1" w:name="P55"/>
      <w:bookmarkEnd w:id="1"/>
      <w:r>
        <w:t>8. Для осуществления казначейских платежей клиент представляет в территориальный орган Федерального казначейства по месту обслуживания лицевого счета следующие виды распоряжений о совершении казначейских платежей (далее - распоряжение):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Распоряжение юридического лица в виде платежного поручения, составленное в соответствии с требованиями Центрального банка Российской Федерации &lt;1&gt;;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85A14" w:rsidRDefault="00B85A14">
      <w:pPr>
        <w:pStyle w:val="ConsPlusNormal"/>
        <w:spacing w:before="220"/>
        <w:ind w:firstLine="540"/>
        <w:jc w:val="both"/>
      </w:pPr>
      <w:bookmarkStart w:id="2" w:name="P58"/>
      <w:bookmarkEnd w:id="2"/>
      <w:r>
        <w:t xml:space="preserve">&lt;1&gt; </w:t>
      </w:r>
      <w:hyperlink r:id="rId20">
        <w:r>
          <w:rPr>
            <w:color w:val="0000FF"/>
          </w:rPr>
          <w:t>Положение</w:t>
        </w:r>
      </w:hyperlink>
      <w:r>
        <w:t xml:space="preserve"> Банка России от 29 июня 2021 г. N 762-П "О правилах осуществления перевода денежных средств" (зарегистрировано Министерством юстиции Российской Федерации 25 августа 2021 г., регистрационный N 64765) с изменениями, внесенными указаниями Банка России от 25 марта 2022 г. N 6104-У (зарегистрировано Министерством юстиции Российской Федерации 25 апреля 2022 г., регистрационный N 68320), от 3 августа 2023 г. N 6497-У (зарегистрировано Министерством юстиции Российской Федерации 10 августа 2023 г., регистрационный N 74717), от 17 июня 2025 г. N 7079-У (зарегистрировано Министерством юстиции Российской Федерации 5 сентября 2025 г., регистрационный N 83479), и </w:t>
      </w:r>
      <w:hyperlink r:id="rId21">
        <w:r>
          <w:rPr>
            <w:color w:val="0000FF"/>
          </w:rPr>
          <w:t>Положение</w:t>
        </w:r>
      </w:hyperlink>
      <w:r>
        <w:t xml:space="preserve"> Банка России от 9 января 2023 г. N 813-П "О ведении Банком России и кредитными организациями банковских счетов территориальных органов Федерального казначейства" (зарегистрировано Министерством юстиции Российской Федерации 30 мая 2023 г., регистрационный N 73622) с изменениями, внесенными Указанием Банка России от 9 января 2024 г. N 6652-У (зарегистрировано Министерством юстиции Российской Федерации 7 февраля 2024 г., регистрационный N 77154).</w:t>
      </w:r>
    </w:p>
    <w:p w:rsidR="00B85A14" w:rsidRDefault="00B85A14">
      <w:pPr>
        <w:pStyle w:val="ConsPlusNormal"/>
        <w:jc w:val="both"/>
      </w:pPr>
      <w:r>
        <w:t xml:space="preserve">(сноска в ред. </w:t>
      </w:r>
      <w:hyperlink r:id="rId22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85A1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A14" w:rsidRDefault="00B85A1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A14" w:rsidRDefault="00B85A1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5A14" w:rsidRDefault="00B85A1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85A14" w:rsidRDefault="00B85A14">
            <w:pPr>
              <w:pStyle w:val="ConsPlusNormal"/>
              <w:jc w:val="both"/>
            </w:pPr>
            <w:r>
              <w:rPr>
                <w:color w:val="392C69"/>
              </w:rPr>
              <w:t>С 01.01.2027 абз. 3 п. 8 излагается в новой редакции (</w:t>
            </w:r>
            <w:hyperlink r:id="rId23">
              <w:r>
                <w:rPr>
                  <w:color w:val="0000FF"/>
                </w:rPr>
                <w:t>Приказ</w:t>
              </w:r>
            </w:hyperlink>
            <w:r>
              <w:rPr>
                <w:color w:val="392C69"/>
              </w:rPr>
              <w:t xml:space="preserve"> Казначейства России от 01.10.2025 N 13н).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5A14" w:rsidRDefault="00B85A14">
            <w:pPr>
              <w:pStyle w:val="ConsPlusNormal"/>
            </w:pPr>
          </w:p>
        </w:tc>
      </w:tr>
    </w:tbl>
    <w:p w:rsidR="00B85A14" w:rsidRDefault="00B85A14">
      <w:pPr>
        <w:pStyle w:val="ConsPlusNormal"/>
        <w:spacing w:before="280"/>
        <w:ind w:firstLine="540"/>
        <w:jc w:val="both"/>
      </w:pPr>
      <w:hyperlink r:id="rId24">
        <w:r>
          <w:rPr>
            <w:color w:val="0000FF"/>
          </w:rPr>
          <w:t>Заявку</w:t>
        </w:r>
      </w:hyperlink>
      <w:r>
        <w:t xml:space="preserve"> на получение наличных денег (код формы по КФД 0531802) &lt;2&gt;;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&lt;2&gt; </w:t>
      </w:r>
      <w:hyperlink r:id="rId25">
        <w:r>
          <w:rPr>
            <w:color w:val="0000FF"/>
          </w:rPr>
          <w:t>Приложение N 23</w:t>
        </w:r>
      </w:hyperlink>
      <w:r>
        <w:t xml:space="preserve"> к Порядку казначейского обслуживания, утвержденному приказом Федерального казначейства от 14 мая 2020 г. N 21н (зарегистрирован Министерством юстиции Российской Федерации 13 июля 2020 г., регистрационный N 58914), с изменениями, внесенными приказами Федерального казначейства от 28 июня 2021 г. N 23н (зарегистрирован Министерством юстиции Российской Федерации 29 июля 2021 г., регистрационный N 64462), от 13 октября 2021 г. N 29н (зарегистрирован Министерством юстиции Российской Федерации 19 ноября 2021 г., регистрационный N 65906), от 29 апреля 2022 г. N 13н (зарегистрирован Министерством юстиции Российской Федерации 24 мая 2022 г., регистрационный N 68566), от 29 июля 2022 г. N 19н </w:t>
      </w:r>
      <w:r>
        <w:lastRenderedPageBreak/>
        <w:t>(зарегистрирован Министерством юстиции Российской Федерации 2 сентября 2022 г., регистрационный N 69902), от 28 декабря 2022 г. N 37н (зарегистрирован Министерством юстиции Российской Федерации 25 января 2023 г., регистрационный N 72131), от 5 декабря 2024 г. N 20н (зарегистрирован Министерством юстиции Российской Федерации 27 декабря 2024 г., регистрационный N 80811) (далее - Порядок казначейского обслуживания).</w:t>
      </w:r>
    </w:p>
    <w:p w:rsidR="00B85A14" w:rsidRDefault="00B85A14">
      <w:pPr>
        <w:pStyle w:val="ConsPlusNormal"/>
        <w:jc w:val="both"/>
      </w:pPr>
      <w:r>
        <w:t xml:space="preserve">(сноска в ред. </w:t>
      </w:r>
      <w:hyperlink r:id="rId26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  <w:hyperlink r:id="rId27">
        <w:r>
          <w:rPr>
            <w:color w:val="0000FF"/>
          </w:rPr>
          <w:t>Заявку</w:t>
        </w:r>
      </w:hyperlink>
      <w:r>
        <w:t xml:space="preserve"> на получение денежных средств, перечисляемых на карту (код формы по КФД 0531243) &lt;3&gt;;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8">
        <w:r>
          <w:rPr>
            <w:color w:val="0000FF"/>
          </w:rPr>
          <w:t>Приложение N 20</w:t>
        </w:r>
      </w:hyperlink>
      <w:r>
        <w:t xml:space="preserve"> к Порядку казначейского обслуживания.</w:t>
      </w: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  <w:hyperlink r:id="rId29">
        <w:r>
          <w:rPr>
            <w:color w:val="0000FF"/>
          </w:rPr>
          <w:t>Уведомление</w:t>
        </w:r>
      </w:hyperlink>
      <w:r>
        <w:t xml:space="preserve"> об уточнении операций клиента (код формы по КФД 0531852) &lt;4&gt; (далее - Уведомление).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&lt;4&gt; </w:t>
      </w:r>
      <w:hyperlink r:id="rId30">
        <w:r>
          <w:rPr>
            <w:color w:val="0000FF"/>
          </w:rPr>
          <w:t>Приложение N 25</w:t>
        </w:r>
      </w:hyperlink>
      <w:r>
        <w:t xml:space="preserve"> к Порядку казначейского обслуживания.</w:t>
      </w: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  <w:r>
        <w:t>Для осуществления казначейских платежей финансовый орган субъекта Российской Федерации (муниципального образования) представляет в территориальный орган Федерального казначейства распоряжение финансового органа в виде платежного поручения, составленное в соответствии с требованиями Центрального банка Российской Федерации &lt;1&gt;.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В случаях, установленных бюджетным законодательством Российской Федерации, территориальный орган Федерального казначейства формирует распоряжение на перечисление средств с лицевого счета клиента (раздела на лицевом счете).</w:t>
      </w:r>
    </w:p>
    <w:p w:rsidR="00B85A14" w:rsidRDefault="00B85A14">
      <w:pPr>
        <w:pStyle w:val="ConsPlusNormal"/>
        <w:jc w:val="both"/>
      </w:pPr>
      <w:r>
        <w:t xml:space="preserve">(абзац введен </w:t>
      </w:r>
      <w:hyperlink r:id="rId31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bookmarkStart w:id="3" w:name="P79"/>
      <w:bookmarkEnd w:id="3"/>
      <w:r>
        <w:t>9. Распоряжения, представленные в территориальный орган Федерального казначейства клиентом, финансовым органом субъекта Российской Федерации (муниципального образования), соответствующие требованиям, предусмотренным настоящим Порядком, исполняются при наличии на лицевом счете (разделе на лицевом счете) и казначейском счете, к которому они представлены, остатка средств, достаточного для их исполнения.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bookmarkStart w:id="4" w:name="P81"/>
      <w:bookmarkEnd w:id="4"/>
      <w:r>
        <w:t xml:space="preserve">10. Территориальный орган Федерального казначейства принимает представленные в электронном виде распоряжения, указанные в </w:t>
      </w:r>
      <w:hyperlink w:anchor="P55">
        <w:r>
          <w:rPr>
            <w:color w:val="0000FF"/>
          </w:rPr>
          <w:t>пункте 8</w:t>
        </w:r>
      </w:hyperlink>
      <w:r>
        <w:t xml:space="preserve"> настоящего Порядка, к исполнению в случае положительного результата выполнения процедур, указанных в </w:t>
      </w:r>
      <w:hyperlink r:id="rId33">
        <w:r>
          <w:rPr>
            <w:color w:val="0000FF"/>
          </w:rPr>
          <w:t>пункте 5.1</w:t>
        </w:r>
      </w:hyperlink>
      <w:r>
        <w:t xml:space="preserve"> Правил организации и функционирования системы казначейских платежей, установленных Федеральным казначейством по согласованию с Центральным банком Российской Федерации на основании </w:t>
      </w:r>
      <w:hyperlink r:id="rId34">
        <w:r>
          <w:rPr>
            <w:color w:val="0000FF"/>
          </w:rPr>
          <w:t>пункта 5 статьи 242.7</w:t>
        </w:r>
      </w:hyperlink>
      <w:r>
        <w:t xml:space="preserve"> Бюджетного кодекса &lt;5&gt;, а также при условии, что распоряжение соответствует положениям, предусмотренным настоящим Порядком.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85A14" w:rsidRDefault="00B85A14">
      <w:pPr>
        <w:pStyle w:val="ConsPlusNormal"/>
        <w:spacing w:before="220"/>
        <w:ind w:firstLine="540"/>
        <w:jc w:val="both"/>
      </w:pPr>
      <w:bookmarkStart w:id="5" w:name="P84"/>
      <w:bookmarkEnd w:id="5"/>
      <w:r>
        <w:t xml:space="preserve">&lt;5&gt; </w:t>
      </w:r>
      <w:hyperlink r:id="rId36">
        <w:r>
          <w:rPr>
            <w:color w:val="0000FF"/>
          </w:rPr>
          <w:t>Правила</w:t>
        </w:r>
      </w:hyperlink>
      <w:r>
        <w:t xml:space="preserve"> организации и функционирования системы казначейских платежей, утвержденные приказом Федерального казначейства от 13 мая 2020 г. N 20н (зарегистрирован Министерством юстиции Российской Федерации 13 июля 2020 г., регистрационный N 58915), с изменениями, внесенными приказами Федерального казначейства от 29 июля 2022 г. N 20н (зарегистрирован Министерством юстиции Российской Федерации 2 сентября 2022 г., регистрационный N 69909), от 5 июня 2023 г. N 11н (зарегистрирован Министерством юстиции </w:t>
      </w:r>
      <w:r>
        <w:lastRenderedPageBreak/>
        <w:t>Российской Федерации 6 сентября 2023 г., регистрационный N 75116), от 27 августа 2024 г. N 10н (зарегистрирован Министерством юстиции Российской Федерации 3 декабря 2024 г., регистрационный N 80444) (далее - Правила организации и функционирования системы казначейских платежей).</w:t>
      </w:r>
    </w:p>
    <w:p w:rsidR="00B85A14" w:rsidRDefault="00B85A14">
      <w:pPr>
        <w:pStyle w:val="ConsPlusNormal"/>
        <w:jc w:val="both"/>
      </w:pPr>
      <w:r>
        <w:t xml:space="preserve">(сноска в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  <w:r>
        <w:t>В случае представления распоряжения клиентом территориальный орган Федерального казначейства в дополнение к проверкам, установленным настоящим пунктом, проверяет представленное распоряжение на соответствие следующим условиям: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распоряжение соответствует положениям, предусмотренным порядком санкционирования;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реквизиты и показатели, предусмотренные к заполнению в распоряжении, заполнены и соответствуют друг другу, реестровым записям реестра участников бюджетного процесса, а также юридических лиц, не являющихся участниками бюджетного процесса &lt;6&gt;, или справочника индивидуальных предпринимателей, крестьянских (фермерских) хозяйств, физических лиц - производителей товаров, работ, услуг &lt;6(1)&gt;,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бюджет", функционирующей в соответствии с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 (далее - ГИИС "Электронный бюджет");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&lt;6&gt; </w:t>
      </w:r>
      <w:hyperlink r:id="rId40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N 35954), с изменениями, внесенными приказами Министерства финансов Российской Федерации от 3 ноября 2016 г. N 203н (зарегистрирован Министерством юстиции Российской Федерации 2 декабря 2016 г., регистрационный N 44545), от 27 ноября 2017 г. N 204н (зарегистрирован Министерством юстиции Российской Федерации 21 декабря 2017 г., регистрационный N 49355), от 7 июня 2019 г. N 89н (зарегистрирован Министерством юстиции Российской Федерации 4 июля 2019 г., регистрационный N 55128), от 7 апреля 2020 N 56н (зарегистрирован Министерством юстиции Российской Федерации 12 мая 2020 г., регистрационный N 58323), от 18 ноября 2020 г. N 271н (зарегистрирован Министерством юстиции Российской Федерации 18 декабря 2020 г., регистрационный N 61567), от 8 декабря 2020 г. N 299н (зарегистрирован Министерством юстиции Российской Федерации 8 февраля 2021 г., регистрационный N 62432), от 20 августа 2021 г. N 111н (зарегистрирован Министерством юстиции Российской Федерации 16 сентября 2021 г., регистрационный N 65035), от 24 ноября 2021 г. N 192н (зарегистрирован Министерством юстиции Российской Федерации 23 декабря 2021 г., регистрационный N 66523), от 7 декабря 2022 г. N 184н (зарегистрирован Министерством юстиции Российской Федерации 21 декабря 2022 г., регистрационный N 71736), от 1 марта 2023 г. N 26н (зарегистрирован Министерством юстиции Российской Федерации 30 марта 2023 г., регистрационный N 72812).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&lt;6(1)&gt; </w:t>
      </w:r>
      <w:hyperlink r:id="rId42">
        <w:r>
          <w:rPr>
            <w:color w:val="0000FF"/>
          </w:rPr>
          <w:t>Абзац второй пункта 3</w:t>
        </w:r>
      </w:hyperlink>
      <w:r>
        <w:t xml:space="preserve"> Порядка открытия лицевых счетов территориальными органами Федерального казначейства участникам казначейского сопровождения, утвержденного приказом Федерального казначейства от 22 декабря 2021 г. N 44н (зарегистрирован Министерством юстиции Российской Федерации 7 февраля 2022 г., регистрационный N 67178), с изменениями, внесенными приказами Федерального казначейства от 6 декабря 2024 г. N 22н (зарегистрирован Министерством юстиции Российской Федерации 5 марта 2025 г., регистрационный N 81457), от 9 апреля 2025 г. N 4н (зарегистрирован Министерством юстиции Российской Федерации 15 мая 2025 г. </w:t>
      </w:r>
      <w:r>
        <w:lastRenderedPageBreak/>
        <w:t>регистрационный N 82187).</w:t>
      </w:r>
    </w:p>
    <w:p w:rsidR="00B85A14" w:rsidRDefault="00B85A14">
      <w:pPr>
        <w:pStyle w:val="ConsPlusNormal"/>
        <w:jc w:val="both"/>
      </w:pPr>
      <w:r>
        <w:t xml:space="preserve">(сноска введена </w:t>
      </w:r>
      <w:hyperlink r:id="rId43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  <w:r>
        <w:t>сумма по распоряжению не превышает разрешенный к использованию остаток целевых средств, отраженный на соответствующем разделе на лицевом счете.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5">
        <w:r>
          <w:rPr>
            <w:color w:val="0000FF"/>
          </w:rPr>
          <w:t>Приказ</w:t>
        </w:r>
      </w:hyperlink>
      <w:r>
        <w:t xml:space="preserve"> Казначейства России от 01.10.2025 N 13н.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11. Представленные клиентом распоряжения до 14-00 часов местного времени, соответствующие положениям, предусмотренным пунктами 9 и 10 настоящего Порядка и порядка санкционирования, территориальный орган Федерального казначейства принимает к исполнению в течение текущего рабочего дня. Распоряжения, представленные клиентом после 14-00 часов местного времени, подлежат исполнению не позднее рабочего дня, следующего за днем их поступления в территориальный орган Федерального казначейства.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В случае если условиями контракта (договора) цена установлена в иностранной валюте, операции по оплате обязательств по контракту (договору) осуществляются на основании распоряжений, представленных в территориальный орган Федерального казначейства, с указанием суммы в валюте Российской Федерации.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Исполнение указанных распоряжений, в случае их соответствия положениям, предусмотренным </w:t>
      </w:r>
      <w:hyperlink w:anchor="P79">
        <w:r>
          <w:rPr>
            <w:color w:val="0000FF"/>
          </w:rPr>
          <w:t>пунктами 9</w:t>
        </w:r>
      </w:hyperlink>
      <w:r>
        <w:t xml:space="preserve"> и </w:t>
      </w:r>
      <w:hyperlink w:anchor="P81">
        <w:r>
          <w:rPr>
            <w:color w:val="0000FF"/>
          </w:rPr>
          <w:t>10</w:t>
        </w:r>
      </w:hyperlink>
      <w:r>
        <w:t xml:space="preserve"> настоящего Порядка, поступивших в территориальный орган Федерального казначейства до 13-00 часов местного времени, осуществляется территориальным органом Федерального казначейства в день их поступления (за исключением случаев, предусмотренных порядком санкционирования).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Прием к исполнению распоряжений, представленных клиентом в целях оплаты обязательств, санкционирование которых в соответствии с порядком санкционирования осуществляется в автоматическом режиме в ГИИС "Электронный бюджет", территориальный орган Федерального казначейства осуществляет в течение текущего рабочего дня.</w:t>
      </w:r>
    </w:p>
    <w:p w:rsidR="00B85A14" w:rsidRDefault="00B85A14">
      <w:pPr>
        <w:pStyle w:val="ConsPlusNormal"/>
        <w:jc w:val="both"/>
      </w:pPr>
      <w:r>
        <w:t xml:space="preserve">(абзац введен </w:t>
      </w:r>
      <w:hyperlink r:id="rId47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12. В случае если распоряжение не соответствует положениям, предусмотренным </w:t>
      </w:r>
      <w:hyperlink w:anchor="P79">
        <w:r>
          <w:rPr>
            <w:color w:val="0000FF"/>
          </w:rPr>
          <w:t>пунктами 9</w:t>
        </w:r>
      </w:hyperlink>
      <w:r>
        <w:t xml:space="preserve"> и </w:t>
      </w:r>
      <w:hyperlink w:anchor="P81">
        <w:r>
          <w:rPr>
            <w:color w:val="0000FF"/>
          </w:rPr>
          <w:t>10</w:t>
        </w:r>
      </w:hyperlink>
      <w:r>
        <w:t xml:space="preserve"> настоящего Порядка, территориальный орган Федерального казначейства в порядке и сроки, предусмотренные порядком санкционирования, отказывает в приеме распоряжения к исполнению.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13. Утратил силу. - </w:t>
      </w:r>
      <w:hyperlink r:id="rId49">
        <w:r>
          <w:rPr>
            <w:color w:val="0000FF"/>
          </w:rPr>
          <w:t>Приказ</w:t>
        </w:r>
      </w:hyperlink>
      <w:r>
        <w:t xml:space="preserve"> Казначейства России от 01.10.2025 N 13н.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14. Распоряжение может быть отозвано клиентом в случаях и в порядке, установленных </w:t>
      </w:r>
      <w:hyperlink r:id="rId50">
        <w:r>
          <w:rPr>
            <w:color w:val="0000FF"/>
          </w:rPr>
          <w:t>Правилами</w:t>
        </w:r>
      </w:hyperlink>
      <w:r>
        <w:t xml:space="preserve"> организации и функционирования системы казначейских платежей </w:t>
      </w:r>
      <w:hyperlink w:anchor="P84">
        <w:r>
          <w:rPr>
            <w:color w:val="0000FF"/>
          </w:rPr>
          <w:t>&lt;5&gt;</w:t>
        </w:r>
      </w:hyperlink>
      <w:r>
        <w:t>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15. Учет операций со средствами клиента (включая операции между юридическим лицом и его обособленным подразделением) осуществляется по кодам источников поступлений целевых средств и кодам направления расходования целевых средств, предусмотренным порядком санкционирования (далее соответственно - код источников поступлений, код направления выплат), а также аналитическим кодам, используемым в целях идентификации операций, связанных с реализацией проектов (мероприятий), источником финансового обеспечения которых являются средства бюджетного кредита, предоставленного бюджету субъекта Российской Федерации (далее - аналитический код бюджетного кредита), уникальным кодам объектов капитального строительства или объектов недвижимости, кодам мероприятия ведомственной программы цифровой трансформации мероприятий государственных органов, направленных на создание, </w:t>
      </w:r>
      <w:r>
        <w:lastRenderedPageBreak/>
        <w:t>развитие, эксплуатацию или использование информационно-коммуникационных технологий, а также на вывод из эксплуатации информационных систем и компонентов информационно-телекоммуникационной инфраструктуры (далее - код мероприятия) (при наличии).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Суммы возврата дебиторской задолженности текущего финансового года, образовавшейся у клиента, учитываются как восстановление казначейских платежей на разделе на лицевом счете, с которого был осуществлен казначейский платеж, с отражением по тем же кодам направления выплат, по которым был произведен казначейский платеж.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Клиент информирует дебитора, не являющегося участником системы казначейских платежей, о порядке заполнения платежного поручения при возврате дебиторской задолженности в соответствии с требованиями Центрального банка Российской Федерации </w:t>
      </w:r>
      <w:hyperlink w:anchor="P58">
        <w:r>
          <w:rPr>
            <w:color w:val="0000FF"/>
          </w:rPr>
          <w:t>&lt;1&gt;</w:t>
        </w:r>
      </w:hyperlink>
      <w:r>
        <w:t>.</w:t>
      </w:r>
    </w:p>
    <w:p w:rsidR="00B85A14" w:rsidRDefault="00B85A14">
      <w:pPr>
        <w:pStyle w:val="ConsPlusNormal"/>
        <w:spacing w:before="220"/>
        <w:ind w:firstLine="540"/>
        <w:jc w:val="both"/>
      </w:pPr>
      <w:bookmarkStart w:id="6" w:name="P114"/>
      <w:bookmarkEnd w:id="6"/>
      <w:r>
        <w:t>16. Суммы, зачисленные на казначейский счет на основании распоряжений (платежных поручений), в которых отсутствует информация, позволяющая определить принадлежность поступивших сумм, в том числе реквизиты государственного (муниципального) контракта, договора (соглашения), контракта (договора) (дата, номер), на основании которого открыт раздел на лицевом счете клиенту, и (или) идентификатор государственного (муниципального) контракта, договора (соглашения) (далее - идентификатор), не указан и (или) указан ошибочный номер лицевого счета (раздела на лицевом счете), или на основании распоряжений (платежных поручений), в которых реквизиты позволяют однозначно определить, что средства не подлежат казначейскому сопровождению (далее - невыясненные поступления), учитываются территориальным органом Федерального казначейства в составе общего остатка на казначейском счете без отражения на лицевых счетах (разделах на лицевых счетах).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Не подлежат отнесению к невыясненным поступлениям денежные средства, подлежащие казначейскому сопровождению в соответствии с законодательством Российской Федерации, по распоряжениям (платежным поручениям), в которых реквизиты позволяют определить принадлежность платежа: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при наличии ИНН и (или) наименования клиента, номера лицевого счета (раздела на лицевом счете), идентификатора, реквизитов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при наличии в назначении платежа ссылки на номер и дату документа, по которому осуществлен возврат дебиторской задолженности;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в иных случаях, если реквизиты распоряжения (платежного поручения) позволяют определить принадлежность платежа.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Денежные средства, поступившие на основании:</w:t>
      </w:r>
    </w:p>
    <w:p w:rsidR="00B85A14" w:rsidRDefault="00B85A14">
      <w:pPr>
        <w:pStyle w:val="ConsPlusNormal"/>
        <w:spacing w:before="220"/>
        <w:ind w:firstLine="540"/>
        <w:jc w:val="both"/>
      </w:pPr>
      <w:bookmarkStart w:id="7" w:name="P122"/>
      <w:bookmarkEnd w:id="7"/>
      <w:r>
        <w:t>распоряжения (платежного поручения) на возврат средств дебиторской задолженности, в котором отсутствует или указан ошибочный (несуществующий) код направления выплат, отражаются на разделе на лицевом счете как не разрешенные к использованию с целью последующего уточнения кода направления выплат;</w:t>
      </w:r>
    </w:p>
    <w:p w:rsidR="00B85A14" w:rsidRDefault="00B85A14">
      <w:pPr>
        <w:pStyle w:val="ConsPlusNormal"/>
        <w:spacing w:before="220"/>
        <w:ind w:firstLine="540"/>
        <w:jc w:val="both"/>
      </w:pPr>
      <w:bookmarkStart w:id="8" w:name="P123"/>
      <w:bookmarkEnd w:id="8"/>
      <w:r>
        <w:t>распоряжения (платежного поручения), в котором указаны реквизиты, позволяющие определить принадлежность платежа, но не указан или указан ошибочный (несуществующий) код источника поступлений, отражаются на разделе на лицевом счете как не разрешенные к использованию с целью последующего уточнения клиентом кода источника поступлений;</w:t>
      </w:r>
    </w:p>
    <w:p w:rsidR="00B85A14" w:rsidRDefault="00B85A14">
      <w:pPr>
        <w:pStyle w:val="ConsPlusNormal"/>
        <w:spacing w:before="220"/>
        <w:ind w:firstLine="540"/>
        <w:jc w:val="both"/>
      </w:pPr>
      <w:bookmarkStart w:id="9" w:name="P124"/>
      <w:bookmarkEnd w:id="9"/>
      <w:r>
        <w:lastRenderedPageBreak/>
        <w:t>распоряжения (платежного поручения), в котором указан номер лицевого счета и не указан или указан ошибочный (несуществующий) идентификатор, и (или) уникальный код объекта капитального строительства (код мероприятия), и (или) аналитический код бюджетного кредита, отражаются на лицевом счете (разделе на лицевом счете) как не разрешенные к использованию с целью последующего уточнения.</w:t>
      </w:r>
    </w:p>
    <w:p w:rsidR="00B85A14" w:rsidRDefault="00B85A14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В случае если денежные средства, отраженные на лицевом счете (разделе на лицевом счете) как не разрешенные к использованию, ошибочно перечислены клиенту, клиент представляет в территориальный орган Федерального казначейства распоряжение для осуществления возврата указанных денежных средств плательщику.</w:t>
      </w:r>
    </w:p>
    <w:p w:rsidR="00B85A14" w:rsidRDefault="00B85A14">
      <w:pPr>
        <w:pStyle w:val="ConsPlusNormal"/>
        <w:spacing w:before="220"/>
        <w:ind w:firstLine="540"/>
        <w:jc w:val="both"/>
      </w:pPr>
      <w:bookmarkStart w:id="10" w:name="P127"/>
      <w:bookmarkEnd w:id="10"/>
      <w:r>
        <w:t xml:space="preserve">В случае если денежные средства, отраженные на разделе на лицевом счете, ошибочно перечислены клиенту плательщиком на соответствующий раздел на лицевом счете, их уточнение осуществляется на основании представленного клиентом в территориальный орган Федерального казначейства </w:t>
      </w:r>
      <w:hyperlink r:id="rId55">
        <w:r>
          <w:rPr>
            <w:color w:val="0000FF"/>
          </w:rPr>
          <w:t>Уведомления</w:t>
        </w:r>
      </w:hyperlink>
      <w:r>
        <w:t xml:space="preserve"> с приложением письменного обращения плательщика, в котором указан аналитический код раздела на лицевом счете, на который данные денежные средства подлежат зачислению.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В случае если денежные средства, отраженные на лицевом счете (разделе на лицевом счете), как не разрешенные к использованию, ошибочно перечислены на лицевой счет клиента и не подлежат казначейскому сопровождению, клиент вправе представить в территориальный орган Федерального казначейства распоряжение для перечисления указанных средств на расчетный счет клиента, открытый в кредитной организации, с приложением письменного обращения плательщика и документов, подтверждающих исполнение обязательств по государственному (муниципальному) контракту, договору (соглашению), контракту (договору).</w:t>
      </w:r>
    </w:p>
    <w:p w:rsidR="00B85A14" w:rsidRDefault="00B85A14">
      <w:pPr>
        <w:pStyle w:val="ConsPlusNormal"/>
        <w:jc w:val="both"/>
      </w:pPr>
      <w:r>
        <w:t xml:space="preserve">(абзац введен </w:t>
      </w:r>
      <w:hyperlink r:id="rId56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17. В случае если в распоряжении (платежном поручении), суммы по которому отнесены к невыясненным поступлениям, указан ИНН клиента, иные реквизиты предполагаемого получателя средств, территориальный орган Федерального казначейства не позднее рабочего дня, следующего за днем поступления денежных средств, формирует и направляет предполагаемому получателю средств - клиенту </w:t>
      </w:r>
      <w:hyperlink r:id="rId57">
        <w:r>
          <w:rPr>
            <w:color w:val="0000FF"/>
          </w:rPr>
          <w:t>запрос</w:t>
        </w:r>
      </w:hyperlink>
      <w:r>
        <w:t xml:space="preserve"> на выяснение принадлежности платежа (код формы по КФД 0531808) &lt;9&gt; (далее - Запрос).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&lt;9&gt; </w:t>
      </w:r>
      <w:hyperlink r:id="rId58">
        <w:r>
          <w:rPr>
            <w:color w:val="0000FF"/>
          </w:rPr>
          <w:t>Приложение N 8</w:t>
        </w:r>
      </w:hyperlink>
      <w:r>
        <w:t xml:space="preserve"> к Порядку казначейского обслуживания.</w:t>
      </w: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  <w:r>
        <w:t xml:space="preserve">18. Уточнение невыясненных поступлений осуществляется на основании представленного клиентом в территориальный орган Федерального казначейства </w:t>
      </w:r>
      <w:hyperlink r:id="rId59">
        <w:r>
          <w:rPr>
            <w:color w:val="0000FF"/>
          </w:rPr>
          <w:t>Уведомления</w:t>
        </w:r>
      </w:hyperlink>
      <w:r>
        <w:t>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Невыясненные поступления клиента подлежат уточнению в течение 10 рабочих дней со дня их поступления на казначейский счет, а в случае направления территориальным органом Федерального казначейства </w:t>
      </w:r>
      <w:hyperlink r:id="rId60">
        <w:r>
          <w:rPr>
            <w:color w:val="0000FF"/>
          </w:rPr>
          <w:t>Запроса</w:t>
        </w:r>
      </w:hyperlink>
      <w:r>
        <w:t xml:space="preserve"> - в течение 10 рабочих дней со дня его получения клиентом.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формирует распоряжение на возврат указанных средств плательщику:</w:t>
      </w:r>
    </w:p>
    <w:p w:rsidR="00B85A14" w:rsidRDefault="00B85A14">
      <w:pPr>
        <w:pStyle w:val="ConsPlusNormal"/>
        <w:spacing w:before="220"/>
        <w:ind w:firstLine="540"/>
        <w:jc w:val="both"/>
      </w:pPr>
      <w:bookmarkStart w:id="11" w:name="P137"/>
      <w:bookmarkEnd w:id="11"/>
      <w:r>
        <w:t>по истечении 10 рабочих дней со дня поступления на казначейский счет невыясненных поступлений в случае, если распоряжение (платежное поручение) не содержит реквизитов, позволяющих определить предполагаемого получателя средств;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по истечении 10 рабочих дней со дня получения клиентом направленного ему территориальным органом Федерального казначейства </w:t>
      </w:r>
      <w:hyperlink r:id="rId61">
        <w:r>
          <w:rPr>
            <w:color w:val="0000FF"/>
          </w:rPr>
          <w:t>Запроса</w:t>
        </w:r>
      </w:hyperlink>
      <w:r>
        <w:t xml:space="preserve"> в случае, если клиент не представил в территориальный орган Федерального казначейства </w:t>
      </w:r>
      <w:hyperlink r:id="rId62">
        <w:r>
          <w:rPr>
            <w:color w:val="0000FF"/>
          </w:rPr>
          <w:t>Уведомление</w:t>
        </w:r>
      </w:hyperlink>
      <w:r>
        <w:t>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lastRenderedPageBreak/>
        <w:t xml:space="preserve">Суммы поступлений на казначейский счет, отнесенные к невыясненным поступлениям, возвращаются территориальным органом Федерального казначейства плательщику до истечения срока, указанного в </w:t>
      </w:r>
      <w:hyperlink w:anchor="P137">
        <w:r>
          <w:rPr>
            <w:color w:val="0000FF"/>
          </w:rPr>
          <w:t>абзаце четвертом</w:t>
        </w:r>
      </w:hyperlink>
      <w:r>
        <w:t xml:space="preserve"> настоящего пункта, на основании письменного обращения плательщика не позднее второго рабочего дня, следующего за днем представления плательщиком обращения.</w:t>
      </w:r>
    </w:p>
    <w:p w:rsidR="00B85A14" w:rsidRDefault="00B85A14">
      <w:pPr>
        <w:pStyle w:val="ConsPlusNormal"/>
        <w:jc w:val="both"/>
      </w:pPr>
      <w:r>
        <w:t xml:space="preserve">(абзац введен </w:t>
      </w:r>
      <w:hyperlink r:id="rId63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19. Суммы поступлений на казначейский счет, отнесенные к невыясненным поступлениям, результаты выяснения (уточнения) их принадлежности, а также операции по возврату невыясненных поступлений плательщику отражаются территориальным органом Федерального казначейства в </w:t>
      </w:r>
      <w:hyperlink r:id="rId64">
        <w:r>
          <w:rPr>
            <w:color w:val="0000FF"/>
          </w:rPr>
          <w:t>Ведомости</w:t>
        </w:r>
      </w:hyperlink>
      <w:r>
        <w:t xml:space="preserve"> учета невыясненных поступлений по счету (код формы по КФД 0531853) &lt;10&gt;.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65">
        <w:r>
          <w:rPr>
            <w:color w:val="0000FF"/>
          </w:rPr>
          <w:t>Приложение N 14</w:t>
        </w:r>
      </w:hyperlink>
      <w:r>
        <w:t xml:space="preserve"> к Порядку казначейского обслуживания.</w:t>
      </w: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  <w:r>
        <w:t xml:space="preserve">20. Клиент вправе в течение текущего финансового года представить в территориальный орган Федерального казначейства </w:t>
      </w:r>
      <w:hyperlink r:id="rId66">
        <w:r>
          <w:rPr>
            <w:color w:val="0000FF"/>
          </w:rPr>
          <w:t>Уведомление</w:t>
        </w:r>
      </w:hyperlink>
      <w:r>
        <w:t xml:space="preserve"> для уточнения операций, отраженных на открытом клиенту лицевом счете (разделе на лицевом счете).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осуществляет проверку представленного клиентом Уведомления по следующим направлениям:</w:t>
      </w:r>
    </w:p>
    <w:p w:rsidR="00B85A14" w:rsidRDefault="00B85A14">
      <w:pPr>
        <w:pStyle w:val="ConsPlusNormal"/>
        <w:jc w:val="both"/>
      </w:pPr>
      <w:r>
        <w:t xml:space="preserve">(абзац введен </w:t>
      </w:r>
      <w:hyperlink r:id="rId67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а) соответствие кода источника поступлений, указанного в Уведомлении, коду источника поступлений целевых средств, предусмотренному порядком санкционирования, и условиям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</w:p>
    <w:p w:rsidR="00B85A14" w:rsidRDefault="00B85A14">
      <w:pPr>
        <w:pStyle w:val="ConsPlusNormal"/>
        <w:jc w:val="both"/>
      </w:pPr>
      <w:r>
        <w:t xml:space="preserve">(пп. "а" введен </w:t>
      </w:r>
      <w:hyperlink r:id="rId68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б) соответствие детализированного кода направления выплат, указанного в Уведомлении, текстовому назначению платежа, указанному в распоряжении, при уточнении ранее произведенной операции по кассовому расходу, отраженному на разделе на лицевом счете на дату представления Уведомления;</w:t>
      </w:r>
    </w:p>
    <w:p w:rsidR="00B85A14" w:rsidRDefault="00B85A14">
      <w:pPr>
        <w:pStyle w:val="ConsPlusNormal"/>
        <w:jc w:val="both"/>
      </w:pPr>
      <w:r>
        <w:t xml:space="preserve">(пп. "б" введен </w:t>
      </w:r>
      <w:hyperlink r:id="rId69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в) непревышение суммы, указанной по уточняемому коду направления выплат, над суммой остатка целевых средств по соответствующему коду направления выплат, указанной в Сведениях об операциях с целевыми средствами на 20__ год и на плановый период 20__ - 20__ годов (код формы по ОКУД 0501213) &lt;11&gt;, при уточнении ранее произведенной операции по кассовому расходу, отраженному на разделе на лицевом счете на дату представления Уведомления.</w:t>
      </w:r>
    </w:p>
    <w:p w:rsidR="00B85A14" w:rsidRDefault="00B85A14">
      <w:pPr>
        <w:pStyle w:val="ConsPlusNormal"/>
        <w:jc w:val="both"/>
      </w:pPr>
      <w:r>
        <w:t xml:space="preserve">(пп. "в" введен </w:t>
      </w:r>
      <w:hyperlink r:id="rId70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85A14" w:rsidRDefault="00B85A14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71">
        <w:r>
          <w:rPr>
            <w:color w:val="0000FF"/>
          </w:rPr>
          <w:t>Приложение N 1</w:t>
        </w:r>
      </w:hyperlink>
      <w:r>
        <w:t xml:space="preserve"> к Порядку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утвержденному приказом Министерства финансов Российской Федерации от 17 декабря 2021 г. N 214н (зарегистрирован Министерством юстиции Российской Федерации 29 декабря 2021 г., регистрационный N 66676), с изменениями, внесенными приказами Министерства финансов Российской Федерации от 17 марта 2022 г. N 39н (зарегистрирован Министерством юстиции Российской Федерации 29 апреля 2022 г., регистрационный N 68368), от 21 июня 2023 г. N 97н (зарегистрирован Министерством юстиции Российской Федерации 21 сентября 2023 г., регистрационный N 75297), от 25 декабря 2024 г. N 197н (зарегистрирован Министерством юстиции </w:t>
      </w:r>
      <w:r>
        <w:lastRenderedPageBreak/>
        <w:t>Российской Федерации 15 мая 2025 г., регистрационный N 82190), от 27 июня 2025 г. N 84н (зарегистрирован Министерством юстиции Российской Федерации 3 октября 2025 г., регистрационный N 83755).</w:t>
      </w:r>
    </w:p>
    <w:p w:rsidR="00B85A14" w:rsidRDefault="00B85A14">
      <w:pPr>
        <w:pStyle w:val="ConsPlusNormal"/>
        <w:jc w:val="both"/>
      </w:pPr>
      <w:r>
        <w:t xml:space="preserve">(сноска введена </w:t>
      </w:r>
      <w:hyperlink r:id="rId72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B85A14" w:rsidRDefault="00B85A14">
      <w:pPr>
        <w:pStyle w:val="ConsPlusNormal"/>
        <w:jc w:val="both"/>
      </w:pPr>
    </w:p>
    <w:p w:rsidR="00B85A14" w:rsidRDefault="00B85A14">
      <w:pPr>
        <w:pStyle w:val="ConsPlusNormal"/>
        <w:ind w:firstLine="540"/>
        <w:jc w:val="both"/>
      </w:pPr>
      <w:r>
        <w:t xml:space="preserve">21. В случаях, предусмотренных </w:t>
      </w:r>
      <w:hyperlink w:anchor="P114">
        <w:r>
          <w:rPr>
            <w:color w:val="0000FF"/>
          </w:rPr>
          <w:t>абзацами первым</w:t>
        </w:r>
      </w:hyperlink>
      <w:r>
        <w:t xml:space="preserve">, </w:t>
      </w:r>
      <w:hyperlink w:anchor="P122">
        <w:r>
          <w:rPr>
            <w:color w:val="0000FF"/>
          </w:rPr>
          <w:t>седьмым</w:t>
        </w:r>
      </w:hyperlink>
      <w:r>
        <w:t xml:space="preserve"> (за исключением случаев, установленных федеральным законом о федеральном бюджете или нормативным правовым актом Правительства Российской Федерации), </w:t>
      </w:r>
      <w:hyperlink w:anchor="P123">
        <w:r>
          <w:rPr>
            <w:color w:val="0000FF"/>
          </w:rPr>
          <w:t>восьмым</w:t>
        </w:r>
      </w:hyperlink>
      <w:r>
        <w:t xml:space="preserve">, </w:t>
      </w:r>
      <w:hyperlink w:anchor="P124">
        <w:r>
          <w:rPr>
            <w:color w:val="0000FF"/>
          </w:rPr>
          <w:t>девятым</w:t>
        </w:r>
      </w:hyperlink>
      <w:r>
        <w:t xml:space="preserve">, </w:t>
      </w:r>
      <w:hyperlink w:anchor="P127">
        <w:r>
          <w:rPr>
            <w:color w:val="0000FF"/>
          </w:rPr>
          <w:t>одиннадцатым пункта 16</w:t>
        </w:r>
      </w:hyperlink>
      <w:r>
        <w:t xml:space="preserve"> настоящего Порядка, клиент вправе представить в территориальный орган Федерального казначейства </w:t>
      </w:r>
      <w:hyperlink r:id="rId73">
        <w:r>
          <w:rPr>
            <w:color w:val="0000FF"/>
          </w:rPr>
          <w:t>Уведомление</w:t>
        </w:r>
      </w:hyperlink>
      <w:r>
        <w:t xml:space="preserve"> в течение исполнения государственного (муниципального) контракта, договора (соглашения), контракта (договора).</w:t>
      </w: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ind w:firstLine="540"/>
        <w:jc w:val="both"/>
      </w:pPr>
    </w:p>
    <w:p w:rsidR="00B85A14" w:rsidRDefault="00B85A1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5A10" w:rsidRDefault="00A75A10">
      <w:bookmarkStart w:id="12" w:name="_GoBack"/>
      <w:bookmarkEnd w:id="12"/>
    </w:p>
    <w:sectPr w:rsidR="00A75A10" w:rsidSect="00556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A14"/>
    <w:rsid w:val="00A75A10"/>
    <w:rsid w:val="00B8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A432BA-451B-4FD6-85E5-1FFA8FB6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5A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85A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85A1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18226&amp;dst=100028" TargetMode="External"/><Relationship Id="rId21" Type="http://schemas.openxmlformats.org/officeDocument/2006/relationships/hyperlink" Target="https://login.consultant.ru/link/?req=doc&amp;base=LAW&amp;n=523289" TargetMode="External"/><Relationship Id="rId42" Type="http://schemas.openxmlformats.org/officeDocument/2006/relationships/hyperlink" Target="https://login.consultant.ru/link/?req=doc&amp;base=LAW&amp;n=518345&amp;dst=5" TargetMode="External"/><Relationship Id="rId47" Type="http://schemas.openxmlformats.org/officeDocument/2006/relationships/hyperlink" Target="https://login.consultant.ru/link/?req=doc&amp;base=LAW&amp;n=518226&amp;dst=100048" TargetMode="External"/><Relationship Id="rId63" Type="http://schemas.openxmlformats.org/officeDocument/2006/relationships/hyperlink" Target="https://login.consultant.ru/link/?req=doc&amp;base=LAW&amp;n=518226&amp;dst=100062" TargetMode="External"/><Relationship Id="rId68" Type="http://schemas.openxmlformats.org/officeDocument/2006/relationships/hyperlink" Target="https://login.consultant.ru/link/?req=doc&amp;base=LAW&amp;n=518226&amp;dst=10006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8226&amp;dst=100020" TargetMode="External"/><Relationship Id="rId29" Type="http://schemas.openxmlformats.org/officeDocument/2006/relationships/hyperlink" Target="https://login.consultant.ru/link/?req=doc&amp;base=LAW&amp;n=495364&amp;dst=102962" TargetMode="External"/><Relationship Id="rId11" Type="http://schemas.openxmlformats.org/officeDocument/2006/relationships/hyperlink" Target="https://login.consultant.ru/link/?req=doc&amp;base=LAW&amp;n=518226&amp;dst=100014" TargetMode="External"/><Relationship Id="rId24" Type="http://schemas.openxmlformats.org/officeDocument/2006/relationships/hyperlink" Target="https://login.consultant.ru/link/?req=doc&amp;base=LAW&amp;n=495364&amp;dst=163" TargetMode="External"/><Relationship Id="rId32" Type="http://schemas.openxmlformats.org/officeDocument/2006/relationships/hyperlink" Target="https://login.consultant.ru/link/?req=doc&amp;base=LAW&amp;n=518226&amp;dst=100032" TargetMode="External"/><Relationship Id="rId37" Type="http://schemas.openxmlformats.org/officeDocument/2006/relationships/hyperlink" Target="https://login.consultant.ru/link/?req=doc&amp;base=LAW&amp;n=518226&amp;dst=100035" TargetMode="External"/><Relationship Id="rId40" Type="http://schemas.openxmlformats.org/officeDocument/2006/relationships/hyperlink" Target="https://login.consultant.ru/link/?req=doc&amp;base=LAW&amp;n=443741" TargetMode="External"/><Relationship Id="rId45" Type="http://schemas.openxmlformats.org/officeDocument/2006/relationships/hyperlink" Target="https://login.consultant.ru/link/?req=doc&amp;base=LAW&amp;n=518226&amp;dst=100043" TargetMode="External"/><Relationship Id="rId53" Type="http://schemas.openxmlformats.org/officeDocument/2006/relationships/hyperlink" Target="https://login.consultant.ru/link/?req=doc&amp;base=LAW&amp;n=518226&amp;dst=100057" TargetMode="External"/><Relationship Id="rId58" Type="http://schemas.openxmlformats.org/officeDocument/2006/relationships/hyperlink" Target="https://login.consultant.ru/link/?req=doc&amp;base=LAW&amp;n=495364&amp;dst=101680" TargetMode="External"/><Relationship Id="rId66" Type="http://schemas.openxmlformats.org/officeDocument/2006/relationships/hyperlink" Target="https://login.consultant.ru/link/?req=doc&amp;base=LAW&amp;n=495364&amp;dst=102962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18226&amp;dst=100007" TargetMode="External"/><Relationship Id="rId61" Type="http://schemas.openxmlformats.org/officeDocument/2006/relationships/hyperlink" Target="https://login.consultant.ru/link/?req=doc&amp;base=LAW&amp;n=495364&amp;dst=101680" TargetMode="External"/><Relationship Id="rId19" Type="http://schemas.openxmlformats.org/officeDocument/2006/relationships/hyperlink" Target="https://login.consultant.ru/link/?req=doc&amp;base=LAW&amp;n=518226&amp;dst=100021" TargetMode="External"/><Relationship Id="rId14" Type="http://schemas.openxmlformats.org/officeDocument/2006/relationships/hyperlink" Target="https://login.consultant.ru/link/?req=doc&amp;base=LAW&amp;n=518226&amp;dst=100019" TargetMode="External"/><Relationship Id="rId22" Type="http://schemas.openxmlformats.org/officeDocument/2006/relationships/hyperlink" Target="https://login.consultant.ru/link/?req=doc&amp;base=LAW&amp;n=518226&amp;dst=100024" TargetMode="External"/><Relationship Id="rId27" Type="http://schemas.openxmlformats.org/officeDocument/2006/relationships/hyperlink" Target="https://login.consultant.ru/link/?req=doc&amp;base=LAW&amp;n=495364&amp;dst=102490" TargetMode="External"/><Relationship Id="rId30" Type="http://schemas.openxmlformats.org/officeDocument/2006/relationships/hyperlink" Target="https://login.consultant.ru/link/?req=doc&amp;base=LAW&amp;n=495364&amp;dst=102962" TargetMode="External"/><Relationship Id="rId35" Type="http://schemas.openxmlformats.org/officeDocument/2006/relationships/hyperlink" Target="https://login.consultant.ru/link/?req=doc&amp;base=LAW&amp;n=518226&amp;dst=100034" TargetMode="External"/><Relationship Id="rId43" Type="http://schemas.openxmlformats.org/officeDocument/2006/relationships/hyperlink" Target="https://login.consultant.ru/link/?req=doc&amp;base=LAW&amp;n=518226&amp;dst=100040" TargetMode="External"/><Relationship Id="rId48" Type="http://schemas.openxmlformats.org/officeDocument/2006/relationships/hyperlink" Target="https://login.consultant.ru/link/?req=doc&amp;base=LAW&amp;n=518226&amp;dst=100050" TargetMode="External"/><Relationship Id="rId56" Type="http://schemas.openxmlformats.org/officeDocument/2006/relationships/hyperlink" Target="https://login.consultant.ru/link/?req=doc&amp;base=LAW&amp;n=518226&amp;dst=100060" TargetMode="External"/><Relationship Id="rId64" Type="http://schemas.openxmlformats.org/officeDocument/2006/relationships/hyperlink" Target="https://login.consultant.ru/link/?req=doc&amp;base=LAW&amp;n=495364&amp;dst=102045" TargetMode="External"/><Relationship Id="rId69" Type="http://schemas.openxmlformats.org/officeDocument/2006/relationships/hyperlink" Target="https://login.consultant.ru/link/?req=doc&amp;base=LAW&amp;n=518226&amp;dst=100068" TargetMode="External"/><Relationship Id="rId8" Type="http://schemas.openxmlformats.org/officeDocument/2006/relationships/hyperlink" Target="https://login.consultant.ru/link/?req=doc&amp;base=LAW&amp;n=495710&amp;dst=6726" TargetMode="External"/><Relationship Id="rId51" Type="http://schemas.openxmlformats.org/officeDocument/2006/relationships/hyperlink" Target="https://login.consultant.ru/link/?req=doc&amp;base=LAW&amp;n=518226&amp;dst=100053" TargetMode="External"/><Relationship Id="rId72" Type="http://schemas.openxmlformats.org/officeDocument/2006/relationships/hyperlink" Target="https://login.consultant.ru/link/?req=doc&amp;base=LAW&amp;n=518226&amp;dst=10007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18226&amp;dst=100016" TargetMode="External"/><Relationship Id="rId17" Type="http://schemas.openxmlformats.org/officeDocument/2006/relationships/hyperlink" Target="https://login.consultant.ru/link/?req=doc&amp;base=LAW&amp;n=495710&amp;dst=6760" TargetMode="External"/><Relationship Id="rId25" Type="http://schemas.openxmlformats.org/officeDocument/2006/relationships/hyperlink" Target="https://login.consultant.ru/link/?req=doc&amp;base=LAW&amp;n=495364&amp;dst=247" TargetMode="External"/><Relationship Id="rId33" Type="http://schemas.openxmlformats.org/officeDocument/2006/relationships/hyperlink" Target="https://login.consultant.ru/link/?req=doc&amp;base=LAW&amp;n=492460&amp;dst=100075" TargetMode="External"/><Relationship Id="rId38" Type="http://schemas.openxmlformats.org/officeDocument/2006/relationships/hyperlink" Target="https://login.consultant.ru/link/?req=doc&amp;base=LAW&amp;n=518117" TargetMode="External"/><Relationship Id="rId46" Type="http://schemas.openxmlformats.org/officeDocument/2006/relationships/hyperlink" Target="https://login.consultant.ru/link/?req=doc&amp;base=LAW&amp;n=518226&amp;dst=100046" TargetMode="External"/><Relationship Id="rId59" Type="http://schemas.openxmlformats.org/officeDocument/2006/relationships/hyperlink" Target="https://login.consultant.ru/link/?req=doc&amp;base=LAW&amp;n=495364&amp;dst=102962" TargetMode="External"/><Relationship Id="rId67" Type="http://schemas.openxmlformats.org/officeDocument/2006/relationships/hyperlink" Target="https://login.consultant.ru/link/?req=doc&amp;base=LAW&amp;n=518226&amp;dst=100065" TargetMode="External"/><Relationship Id="rId20" Type="http://schemas.openxmlformats.org/officeDocument/2006/relationships/hyperlink" Target="https://login.consultant.ru/link/?req=doc&amp;base=LAW&amp;n=454573" TargetMode="External"/><Relationship Id="rId41" Type="http://schemas.openxmlformats.org/officeDocument/2006/relationships/hyperlink" Target="https://login.consultant.ru/link/?req=doc&amp;base=LAW&amp;n=518226&amp;dst=100039" TargetMode="External"/><Relationship Id="rId54" Type="http://schemas.openxmlformats.org/officeDocument/2006/relationships/hyperlink" Target="https://login.consultant.ru/link/?req=doc&amp;base=LAW&amp;n=518226&amp;dst=100058" TargetMode="External"/><Relationship Id="rId62" Type="http://schemas.openxmlformats.org/officeDocument/2006/relationships/hyperlink" Target="https://login.consultant.ru/link/?req=doc&amp;base=LAW&amp;n=495364&amp;dst=102962" TargetMode="External"/><Relationship Id="rId70" Type="http://schemas.openxmlformats.org/officeDocument/2006/relationships/hyperlink" Target="https://login.consultant.ru/link/?req=doc&amp;base=LAW&amp;n=518226&amp;dst=100069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710&amp;dst=6726" TargetMode="External"/><Relationship Id="rId15" Type="http://schemas.openxmlformats.org/officeDocument/2006/relationships/hyperlink" Target="https://login.consultant.ru/link/?req=doc&amp;base=LAW&amp;n=495710&amp;dst=103142" TargetMode="External"/><Relationship Id="rId23" Type="http://schemas.openxmlformats.org/officeDocument/2006/relationships/hyperlink" Target="https://login.consultant.ru/link/?req=doc&amp;base=LAW&amp;n=518226&amp;dst=100026" TargetMode="External"/><Relationship Id="rId28" Type="http://schemas.openxmlformats.org/officeDocument/2006/relationships/hyperlink" Target="https://login.consultant.ru/link/?req=doc&amp;base=LAW&amp;n=495364&amp;dst=102490" TargetMode="External"/><Relationship Id="rId36" Type="http://schemas.openxmlformats.org/officeDocument/2006/relationships/hyperlink" Target="https://login.consultant.ru/link/?req=doc&amp;base=LAW&amp;n=492460&amp;dst=100013" TargetMode="External"/><Relationship Id="rId49" Type="http://schemas.openxmlformats.org/officeDocument/2006/relationships/hyperlink" Target="https://login.consultant.ru/link/?req=doc&amp;base=LAW&amp;n=518226&amp;dst=100051" TargetMode="External"/><Relationship Id="rId57" Type="http://schemas.openxmlformats.org/officeDocument/2006/relationships/hyperlink" Target="https://login.consultant.ru/link/?req=doc&amp;base=LAW&amp;n=495364&amp;dst=101680" TargetMode="External"/><Relationship Id="rId10" Type="http://schemas.openxmlformats.org/officeDocument/2006/relationships/hyperlink" Target="https://login.consultant.ru/link/?req=doc&amp;base=LAW&amp;n=495710&amp;dst=6774" TargetMode="External"/><Relationship Id="rId31" Type="http://schemas.openxmlformats.org/officeDocument/2006/relationships/hyperlink" Target="https://login.consultant.ru/link/?req=doc&amp;base=LAW&amp;n=518226&amp;dst=100030" TargetMode="External"/><Relationship Id="rId44" Type="http://schemas.openxmlformats.org/officeDocument/2006/relationships/hyperlink" Target="https://login.consultant.ru/link/?req=doc&amp;base=LAW&amp;n=518226&amp;dst=100042" TargetMode="External"/><Relationship Id="rId52" Type="http://schemas.openxmlformats.org/officeDocument/2006/relationships/hyperlink" Target="https://login.consultant.ru/link/?req=doc&amp;base=LAW&amp;n=518226&amp;dst=100056" TargetMode="External"/><Relationship Id="rId60" Type="http://schemas.openxmlformats.org/officeDocument/2006/relationships/hyperlink" Target="https://login.consultant.ru/link/?req=doc&amp;base=LAW&amp;n=495364&amp;dst=101680" TargetMode="External"/><Relationship Id="rId65" Type="http://schemas.openxmlformats.org/officeDocument/2006/relationships/hyperlink" Target="https://login.consultant.ru/link/?req=doc&amp;base=LAW&amp;n=495364&amp;dst=102045" TargetMode="External"/><Relationship Id="rId73" Type="http://schemas.openxmlformats.org/officeDocument/2006/relationships/hyperlink" Target="https://login.consultant.ru/link/?req=doc&amp;base=LAW&amp;n=495364&amp;dst=10296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5710&amp;dst=6772" TargetMode="External"/><Relationship Id="rId13" Type="http://schemas.openxmlformats.org/officeDocument/2006/relationships/hyperlink" Target="https://login.consultant.ru/link/?req=doc&amp;base=LAW&amp;n=518226&amp;dst=100018" TargetMode="External"/><Relationship Id="rId18" Type="http://schemas.openxmlformats.org/officeDocument/2006/relationships/hyperlink" Target="https://login.consultant.ru/link/?req=doc&amp;base=LAW&amp;n=495710&amp;dst=7889" TargetMode="External"/><Relationship Id="rId39" Type="http://schemas.openxmlformats.org/officeDocument/2006/relationships/hyperlink" Target="https://login.consultant.ru/link/?req=doc&amp;base=LAW&amp;n=518226&amp;dst=100037" TargetMode="External"/><Relationship Id="rId34" Type="http://schemas.openxmlformats.org/officeDocument/2006/relationships/hyperlink" Target="https://login.consultant.ru/link/?req=doc&amp;base=LAW&amp;n=495710&amp;dst=6132" TargetMode="External"/><Relationship Id="rId50" Type="http://schemas.openxmlformats.org/officeDocument/2006/relationships/hyperlink" Target="https://login.consultant.ru/link/?req=doc&amp;base=LAW&amp;n=492460&amp;dst=100013" TargetMode="External"/><Relationship Id="rId55" Type="http://schemas.openxmlformats.org/officeDocument/2006/relationships/hyperlink" Target="https://login.consultant.ru/link/?req=doc&amp;base=LAW&amp;n=495364&amp;dst=102962" TargetMode="External"/><Relationship Id="rId7" Type="http://schemas.openxmlformats.org/officeDocument/2006/relationships/hyperlink" Target="https://login.consultant.ru/link/?req=doc&amp;base=LAW&amp;n=518226&amp;dst=100007" TargetMode="External"/><Relationship Id="rId71" Type="http://schemas.openxmlformats.org/officeDocument/2006/relationships/hyperlink" Target="https://login.consultant.ru/link/?req=doc&amp;base=LAW&amp;n=515974&amp;dst=1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5440</Words>
  <Characters>31008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36376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Фриккель Светлана Анатольевна</dc:creator>
  <cp:keywords/>
  <dc:description/>
  <cp:lastModifiedBy>Фриккель Светлана Анатольевна</cp:lastModifiedBy>
  <cp:revision>1</cp:revision>
  <dcterms:created xsi:type="dcterms:W3CDTF">2026-01-14T01:15:00Z</dcterms:created>
  <dcterms:modified xsi:type="dcterms:W3CDTF">2026-01-14T01:16:00Z</dcterms:modified>
</cp:coreProperties>
</file>