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78A" w:rsidRDefault="00BC5F27">
      <w:pPr>
        <w:spacing w:after="115" w:line="259" w:lineRule="auto"/>
        <w:ind w:right="0" w:firstLine="0"/>
        <w:jc w:val="left"/>
      </w:pPr>
      <w:bookmarkStart w:id="0" w:name="_GoBack"/>
      <w:bookmarkEnd w:id="0"/>
      <w:r>
        <w:rPr>
          <w:sz w:val="24"/>
        </w:rPr>
        <w:t xml:space="preserve"> </w:t>
      </w:r>
    </w:p>
    <w:p w:rsidR="002F378A" w:rsidRDefault="00BC5F27">
      <w:pPr>
        <w:spacing w:after="0" w:line="259" w:lineRule="auto"/>
        <w:ind w:right="0" w:firstLine="0"/>
        <w:jc w:val="left"/>
      </w:pPr>
      <w:r>
        <w:rPr>
          <w:sz w:val="24"/>
        </w:rPr>
        <w:t xml:space="preserve"> </w:t>
      </w:r>
    </w:p>
    <w:p w:rsidR="002F378A" w:rsidRDefault="00BC5F27">
      <w:pPr>
        <w:spacing w:after="0" w:line="259" w:lineRule="auto"/>
        <w:ind w:left="917" w:right="0" w:firstLine="0"/>
        <w:jc w:val="center"/>
      </w:pPr>
      <w:r>
        <w:rPr>
          <w:sz w:val="24"/>
        </w:rPr>
        <w:t xml:space="preserve"> </w:t>
      </w:r>
    </w:p>
    <w:p w:rsidR="002F378A" w:rsidRDefault="00BC5F27">
      <w:pPr>
        <w:spacing w:after="0" w:line="238" w:lineRule="auto"/>
        <w:ind w:right="6097" w:firstLine="0"/>
      </w:pPr>
      <w:r>
        <w:rPr>
          <w:sz w:val="22"/>
        </w:rPr>
        <w:t xml:space="preserve">О требованиях к аналитическому учету расчетов (дебиторской задолженности и обязательств)  </w:t>
      </w:r>
    </w:p>
    <w:p w:rsidR="002F378A" w:rsidRDefault="00BC5F27">
      <w:pPr>
        <w:spacing w:after="0" w:line="259" w:lineRule="auto"/>
        <w:ind w:right="0" w:firstLine="0"/>
        <w:jc w:val="left"/>
      </w:pPr>
      <w:r>
        <w:rPr>
          <w:sz w:val="20"/>
        </w:rPr>
        <w:t xml:space="preserve"> </w:t>
      </w:r>
    </w:p>
    <w:p w:rsidR="002F378A" w:rsidRDefault="00BC5F27">
      <w:pPr>
        <w:spacing w:after="94" w:line="259" w:lineRule="auto"/>
        <w:ind w:right="0" w:firstLine="0"/>
        <w:jc w:val="left"/>
      </w:pPr>
      <w:r>
        <w:rPr>
          <w:sz w:val="20"/>
        </w:rPr>
        <w:t xml:space="preserve"> </w:t>
      </w:r>
    </w:p>
    <w:p w:rsidR="002F378A" w:rsidRDefault="00BC5F27">
      <w:pPr>
        <w:ind w:left="-15" w:right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712470</wp:posOffset>
                </wp:positionH>
                <wp:positionV relativeFrom="page">
                  <wp:posOffset>0</wp:posOffset>
                </wp:positionV>
                <wp:extent cx="6351539" cy="3773005"/>
                <wp:effectExtent l="0" t="0" r="0" b="0"/>
                <wp:wrapTopAndBottom/>
                <wp:docPr id="1554" name="Group 15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1539" cy="3773005"/>
                          <a:chOff x="0" y="0"/>
                          <a:chExt cx="6351539" cy="3773005"/>
                        </a:xfrm>
                      </wpg:grpSpPr>
                      <pic:pic xmlns:pic="http://schemas.openxmlformats.org/drawingml/2006/picture">
                        <pic:nvPicPr>
                          <pic:cNvPr id="2031" name="Picture 203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-2285" y="0"/>
                            <a:ext cx="6117336" cy="34259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6858" y="39115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F378A" w:rsidRDefault="00BC5F27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6858" y="71881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F378A" w:rsidRDefault="00BC5F27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6858" y="89407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F378A" w:rsidRDefault="00BC5F27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6858" y="1069590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F378A" w:rsidRDefault="00BC5F27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6858" y="1244850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F378A" w:rsidRDefault="00BC5F27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6858" y="1420110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F378A" w:rsidRDefault="00BC5F27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2961005" y="39115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F378A" w:rsidRDefault="00BC5F27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528371" y="3348351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F378A" w:rsidRDefault="00BC5F27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1051052" y="3348351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F378A" w:rsidRDefault="00BC5F27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2113661" y="3348351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F378A" w:rsidRDefault="00BC5F27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3715639" y="1156783"/>
                            <a:ext cx="3309186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F378A" w:rsidRDefault="00BC5F27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Главные распорядители средств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4055491" y="1463107"/>
                            <a:ext cx="2346121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F378A" w:rsidRDefault="00BC5F27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федерального бюджета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5820664" y="1463107"/>
                            <a:ext cx="59288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F378A" w:rsidRDefault="00BC5F27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4938268" y="1770955"/>
                            <a:ext cx="59288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F378A" w:rsidRDefault="00BC5F27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3759835" y="2077279"/>
                            <a:ext cx="3130139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F378A" w:rsidRDefault="00BC5F27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Финансовые органы субъектов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6114796" y="2077279"/>
                            <a:ext cx="59288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F378A" w:rsidRDefault="00BC5F27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4052443" y="2383603"/>
                            <a:ext cx="2354659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F378A" w:rsidRDefault="00BC5F27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Российской Федерации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5823712" y="2383603"/>
                            <a:ext cx="59288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F378A" w:rsidRDefault="00BC5F27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4938268" y="2689927"/>
                            <a:ext cx="59288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F378A" w:rsidRDefault="00BC5F27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4185031" y="2997775"/>
                            <a:ext cx="2059882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F378A" w:rsidRDefault="00BC5F27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Органы управления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3564763" y="3304480"/>
                            <a:ext cx="3706412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F378A" w:rsidRDefault="00BC5F27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государственными внебюджетными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3691255" y="3610804"/>
                            <a:ext cx="3313218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F378A" w:rsidRDefault="00BC5F27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фондами Российской Федерации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6183376" y="3610804"/>
                            <a:ext cx="59288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F378A" w:rsidRDefault="00BC5F27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" name="Picture 9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11252" y="2757678"/>
                            <a:ext cx="2435352" cy="2148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54" style="width:500.121pt;height:297.087pt;position:absolute;mso-position-horizontal-relative:page;mso-position-horizontal:absolute;margin-left:56.1pt;mso-position-vertical-relative:page;margin-top:0pt;" coordsize="63515,37730">
                <v:shape id="Picture 2031" style="position:absolute;width:61173;height:34259;left:-22;top:0;" filled="f">
                  <v:imagedata r:id="rId8"/>
                </v:shape>
                <v:rect id="Rectangle 8" style="position:absolute;width:506;height:1843;left:68;top:39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style="position:absolute;width:506;height:1843;left:68;top:71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style="position:absolute;width:506;height:1843;left:68;top:89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style="position:absolute;width:506;height:1843;left:68;top:106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style="position:absolute;width:506;height:1843;left:68;top:124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style="position:absolute;width:506;height:1843;left:68;top:142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style="position:absolute;width:506;height:1843;left:29610;top:39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style="position:absolute;width:506;height:1843;left:5283;top:334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style="position:absolute;width:506;height:1843;left:10510;top:334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style="position:absolute;width:506;height:1843;left:21136;top:334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" style="position:absolute;width:33091;height:2157;left:37156;top:115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Главные распорядители средств </w:t>
                        </w:r>
                      </w:p>
                    </w:txbxContent>
                  </v:textbox>
                </v:rect>
                <v:rect id="Rectangle 82" style="position:absolute;width:23461;height:2157;left:40554;top:146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федерального бюджета</w:t>
                        </w:r>
                      </w:p>
                    </w:txbxContent>
                  </v:textbox>
                </v:rect>
                <v:rect id="Rectangle 83" style="position:absolute;width:592;height:2157;left:58206;top:146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84" style="position:absolute;width:592;height:2157;left:49382;top:177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85" style="position:absolute;width:31301;height:2157;left:37598;top:207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Финансовые органы субъектов</w:t>
                        </w:r>
                      </w:p>
                    </w:txbxContent>
                  </v:textbox>
                </v:rect>
                <v:rect id="Rectangle 86" style="position:absolute;width:592;height:2157;left:61147;top:207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87" style="position:absolute;width:23546;height:2157;left:40524;top:238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Российской Федерации</w:t>
                        </w:r>
                      </w:p>
                    </w:txbxContent>
                  </v:textbox>
                </v:rect>
                <v:rect id="Rectangle 88" style="position:absolute;width:592;height:2157;left:58237;top:238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89" style="position:absolute;width:592;height:2157;left:49382;top:268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90" style="position:absolute;width:20598;height:2157;left:41850;top:299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Органы управления </w:t>
                        </w:r>
                      </w:p>
                    </w:txbxContent>
                  </v:textbox>
                </v:rect>
                <v:rect id="Rectangle 91" style="position:absolute;width:37064;height:2157;left:35647;top:330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государственными внебюджетными </w:t>
                        </w:r>
                      </w:p>
                    </w:txbxContent>
                  </v:textbox>
                </v:rect>
                <v:rect id="Rectangle 92" style="position:absolute;width:33132;height:2157;left:36912;top:361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фондами Российской Федерации</w:t>
                        </w:r>
                      </w:p>
                    </w:txbxContent>
                  </v:textbox>
                </v:rect>
                <v:rect id="Rectangle 93" style="position:absolute;width:592;height:2157;left:61833;top:361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righ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shape id="Picture 96" style="position:absolute;width:24353;height:2148;left:1112;top:27576;" filled="f">
                  <v:imagedata r:id="rId9"/>
                </v:shape>
                <w10:wrap type="topAndBottom"/>
              </v:group>
            </w:pict>
          </mc:Fallback>
        </mc:AlternateContent>
      </w:r>
      <w:r>
        <w:t xml:space="preserve">Министерство финансов Российской Федерации в целях реализации положений приказа Министерства финансов Российской Федерации  </w:t>
      </w:r>
      <w:r>
        <w:t>от 21 декабря 2022 г. № 192н «О внесении изменений в приказ Министерства финансов Российской Федерации от 1 декабря 2010 г. № 157н «Об утверждении Единого плана счетов бухгалтерского учета для органов государственной власти (государственных органов), орган</w:t>
      </w:r>
      <w:r>
        <w:t>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</w:t>
      </w:r>
      <w:r>
        <w:rPr>
          <w:vertAlign w:val="superscript"/>
        </w:rPr>
        <w:footnoteReference w:id="1"/>
      </w:r>
      <w:r>
        <w:t xml:space="preserve"> (далее – Приказ № 192н, Инструкция № 157н) сообщает. </w:t>
      </w:r>
    </w:p>
    <w:p w:rsidR="002F378A" w:rsidRDefault="00BC5F27">
      <w:pPr>
        <w:ind w:left="-15" w:right="0"/>
      </w:pPr>
      <w:r>
        <w:t>Согласно</w:t>
      </w:r>
      <w:r>
        <w:t xml:space="preserve"> пункту 3 Инструкции № 157н (в редакции Приказа №192н) аналитический учет расчетов по доходам (расходам) осуществляется в разрезе контрагентов (идентификаторов контрагентов) и (или) групп контрагентов в случаях, предусмотренных настоящей Инструкцией, </w:t>
      </w:r>
      <w:r>
        <w:rPr>
          <w:b/>
          <w:i/>
        </w:rPr>
        <w:t>право</w:t>
      </w:r>
      <w:r>
        <w:rPr>
          <w:b/>
          <w:i/>
        </w:rPr>
        <w:t>вых оснований, включая даты исполнения,</w:t>
      </w:r>
      <w:r>
        <w:t xml:space="preserve"> а также иных показателей, предусмотренных Инструкцией № 157н и учетной политикой. В случае невозможности установления конкретной даты исполнения задолженности или обязательства в аналитическом показателе «дата </w:t>
      </w:r>
      <w:r>
        <w:lastRenderedPageBreak/>
        <w:t>исполн</w:t>
      </w:r>
      <w:r>
        <w:t>ения» отражается значение «31.12.2999». Аналитический учет расчетов по межбюджетным трансфертам, субсидиям бюджетным и автономным учреждениям, грантам в форме субсидий, субсидиям юридическим лицам, физическим лицам - производителям товаров, работ, услуг, и</w:t>
      </w:r>
      <w:r>
        <w:t xml:space="preserve">ным физическим лицам, предоставляемым с условиями при передаче активов, осуществляется с дополнительным аналитическим признаком, идентифицирующим целевое назначение средств, предоставляемых с условиями при передаче активов (кодов целей) (при наличии). </w:t>
      </w:r>
    </w:p>
    <w:p w:rsidR="002F378A" w:rsidRDefault="00BC5F27">
      <w:pPr>
        <w:ind w:left="-15" w:right="0"/>
      </w:pPr>
      <w:r>
        <w:t>В ц</w:t>
      </w:r>
      <w:r>
        <w:t>елях приведения аналитического учета расчетов в соответствии с указанными требованиями, выявления просроченной задолженности и факторов, влияющих на ее образование, а также раскрытия достоверной информации в полугодовой отчетности, субъектам учета необходи</w:t>
      </w:r>
      <w:r>
        <w:t xml:space="preserve">мо обеспечить проведение инвентаризации показателей расчетов (дебиторской задолженности и обязательств).  </w:t>
      </w:r>
    </w:p>
    <w:p w:rsidR="002F378A" w:rsidRDefault="00BC5F27">
      <w:pPr>
        <w:ind w:left="-15" w:right="0"/>
      </w:pPr>
      <w:r>
        <w:t>Порядок проведения инвентаризации согласно федеральному стандарту бухгалтерского учета для организаций государственного сектора «Учетная политика, оц</w:t>
      </w:r>
      <w:r>
        <w:t>еночные значения и ошибки», утвержденному приказом Министерства финансов Российской Федерации от 30 декабря 2017 г. № 274н, устанавливается актами субъекта учета в рамках его учетной политики. При этом в документах, оформляющих инвентаризацию, необходимо п</w:t>
      </w:r>
      <w:r>
        <w:t xml:space="preserve">редусмотреть данные о состоянии расчетов в структуре показателей аналитического учета, установленных Инструкцией № 157н. </w:t>
      </w:r>
    </w:p>
    <w:p w:rsidR="002F378A" w:rsidRDefault="00BC5F27">
      <w:pPr>
        <w:ind w:left="-15" w:right="0"/>
      </w:pPr>
      <w:r>
        <w:t xml:space="preserve">Субъекты учета, передавшие в соответствии с законодательством Российской Федерации полномочия по ведению бухгалтерского учета уполномоченной организации (централизованной бухгалтерии), обеспечивают передачу результатов инвентаризации расчетов (дебиторской </w:t>
      </w:r>
      <w:r>
        <w:t>задолженности и обязательств) в уполномоченную организацию (централизованную бухгалтерию) до завершения отчетного периода (до 1 июля 2023 года) в целях внесения необходимых показателей (в частности правовых оснований и сроков исполнения) в регистры бухгалт</w:t>
      </w:r>
      <w:r>
        <w:t xml:space="preserve">ерского учета. </w:t>
      </w:r>
    </w:p>
    <w:p w:rsidR="002F378A" w:rsidRDefault="00BC5F27">
      <w:pPr>
        <w:ind w:left="-15" w:right="0"/>
      </w:pPr>
      <w:r>
        <w:t xml:space="preserve">Министерство финансов Российской Федерации информирует, что письмом от 16.02.2023 № 23-01-06/12981 направлены требования о необходимости проведения администраторами доходов инвентаризации по дебиторской задолженности по доходам в структуре </w:t>
      </w:r>
      <w:r>
        <w:t xml:space="preserve">показателей аналитического учета, установленных Инструкцией № 157н, по состоянию не позднее 1 апреля 2023 года. </w:t>
      </w:r>
    </w:p>
    <w:p w:rsidR="002F378A" w:rsidRDefault="00BC5F27">
      <w:pPr>
        <w:spacing w:after="9" w:line="259" w:lineRule="auto"/>
        <w:ind w:left="708" w:right="0" w:firstLine="0"/>
        <w:jc w:val="left"/>
      </w:pPr>
      <w:r>
        <w:t xml:space="preserve"> </w:t>
      </w:r>
    </w:p>
    <w:p w:rsidR="002F378A" w:rsidRDefault="00BC5F27">
      <w:pPr>
        <w:spacing w:after="9" w:line="259" w:lineRule="auto"/>
        <w:ind w:left="708" w:right="3025" w:firstLine="0"/>
        <w:jc w:val="left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1644396</wp:posOffset>
            </wp:positionH>
            <wp:positionV relativeFrom="paragraph">
              <wp:posOffset>-65852</wp:posOffset>
            </wp:positionV>
            <wp:extent cx="2829306" cy="1217676"/>
            <wp:effectExtent l="0" t="0" r="0" b="0"/>
            <wp:wrapSquare wrapText="bothSides"/>
            <wp:docPr id="185" name="Picture 1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Picture 18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29306" cy="12176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</w:p>
    <w:p w:rsidR="002F378A" w:rsidRDefault="00BC5F27">
      <w:pPr>
        <w:ind w:left="708" w:right="0" w:firstLine="0"/>
      </w:pPr>
      <w:r>
        <w:t xml:space="preserve">                                                                                                   А.М. Лавров </w:t>
      </w:r>
    </w:p>
    <w:p w:rsidR="002F378A" w:rsidRDefault="00BC5F27">
      <w:pPr>
        <w:spacing w:after="9" w:line="259" w:lineRule="auto"/>
        <w:ind w:left="708" w:right="3025" w:firstLine="0"/>
        <w:jc w:val="left"/>
      </w:pPr>
      <w:r>
        <w:t xml:space="preserve"> </w:t>
      </w:r>
    </w:p>
    <w:p w:rsidR="002F378A" w:rsidRDefault="00BC5F27">
      <w:pPr>
        <w:spacing w:after="9" w:line="259" w:lineRule="auto"/>
        <w:ind w:left="708" w:right="3025" w:firstLine="0"/>
        <w:jc w:val="left"/>
      </w:pPr>
      <w:r>
        <w:t xml:space="preserve"> </w:t>
      </w:r>
    </w:p>
    <w:p w:rsidR="002F378A" w:rsidRDefault="00BC5F27">
      <w:pPr>
        <w:spacing w:after="0" w:line="259" w:lineRule="auto"/>
        <w:ind w:left="708" w:right="3025" w:firstLine="0"/>
        <w:jc w:val="left"/>
      </w:pPr>
      <w:r>
        <w:t xml:space="preserve"> </w:t>
      </w:r>
    </w:p>
    <w:p w:rsidR="002F378A" w:rsidRDefault="00BC5F27">
      <w:pPr>
        <w:spacing w:after="0" w:line="259" w:lineRule="auto"/>
        <w:ind w:left="-5" w:right="3025" w:hanging="10"/>
        <w:jc w:val="left"/>
      </w:pPr>
      <w:r>
        <w:rPr>
          <w:sz w:val="20"/>
        </w:rPr>
        <w:t xml:space="preserve">Исп.: Фетисова Т.А. </w:t>
      </w:r>
    </w:p>
    <w:p w:rsidR="002F378A" w:rsidRDefault="00BC5F27">
      <w:pPr>
        <w:spacing w:after="0" w:line="259" w:lineRule="auto"/>
        <w:ind w:left="-5" w:right="3025" w:hanging="10"/>
        <w:jc w:val="left"/>
      </w:pPr>
      <w:r>
        <w:rPr>
          <w:sz w:val="20"/>
        </w:rPr>
        <w:t xml:space="preserve">Тел.: (495) 983-38-88*0278 </w:t>
      </w:r>
    </w:p>
    <w:p w:rsidR="002F378A" w:rsidRDefault="00BC5F27">
      <w:pPr>
        <w:spacing w:after="0" w:line="259" w:lineRule="auto"/>
        <w:ind w:right="0" w:firstLine="0"/>
        <w:jc w:val="left"/>
      </w:pPr>
      <w:r>
        <w:rPr>
          <w:sz w:val="24"/>
        </w:rPr>
        <w:t xml:space="preserve"> </w:t>
      </w:r>
    </w:p>
    <w:sectPr w:rsidR="002F378A">
      <w:footnotePr>
        <w:numRestart w:val="eachPage"/>
      </w:footnotePr>
      <w:pgSz w:w="11906" w:h="16838"/>
      <w:pgMar w:top="665" w:right="703" w:bottom="1138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C5F27">
      <w:pPr>
        <w:spacing w:after="0" w:line="240" w:lineRule="auto"/>
      </w:pPr>
      <w:r>
        <w:separator/>
      </w:r>
    </w:p>
  </w:endnote>
  <w:endnote w:type="continuationSeparator" w:id="0">
    <w:p w:rsidR="00000000" w:rsidRDefault="00BC5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78A" w:rsidRDefault="00BC5F27">
      <w:pPr>
        <w:spacing w:after="0" w:line="251" w:lineRule="auto"/>
        <w:ind w:right="5" w:firstLine="0"/>
      </w:pPr>
      <w:r>
        <w:separator/>
      </w:r>
    </w:p>
  </w:footnote>
  <w:footnote w:type="continuationSeparator" w:id="0">
    <w:p w:rsidR="002F378A" w:rsidRDefault="00BC5F27">
      <w:pPr>
        <w:spacing w:after="0" w:line="251" w:lineRule="auto"/>
        <w:ind w:right="5" w:firstLine="0"/>
      </w:pPr>
      <w:r>
        <w:continuationSeparator/>
      </w:r>
    </w:p>
  </w:footnote>
  <w:footnote w:id="1">
    <w:p w:rsidR="002F378A" w:rsidRDefault="00BC5F27">
      <w:pPr>
        <w:pStyle w:val="footnotedescription"/>
      </w:pPr>
      <w:r>
        <w:rPr>
          <w:rStyle w:val="footnotemark"/>
        </w:rPr>
        <w:footnoteRef/>
      </w:r>
      <w:r>
        <w:t xml:space="preserve"> Приказ № 192н размещен на официальном сайте Министерства финансов Российской Федерации в информационно-телекоммуникационной сети «Интернет» в рубрике</w:t>
      </w:r>
      <w:r>
        <w:t xml:space="preserve"> «Минфин России / Деятельность / Бюджет / Учет, отчетность и статистика государственных финансов / Учет и отчетность о государственных финансах / Учет государственных финансов».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78A"/>
    <w:rsid w:val="002F378A"/>
    <w:rsid w:val="00BC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AA0897-5D4F-470E-B1C8-C9AEC089A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63" w:lineRule="auto"/>
      <w:ind w:right="1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0" w:line="251" w:lineRule="auto"/>
      <w:ind w:right="5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553</Words>
  <Characters>3154</Characters>
  <Application>Microsoft Office Word</Application>
  <DocSecurity>0</DocSecurity>
  <Lines>26</Lines>
  <Paragraphs>7</Paragraphs>
  <ScaleCrop>false</ScaleCrop>
  <Company>УФК по Республике Хакасия</Company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Акулова Наталия Владимировна</dc:creator>
  <cp:keywords/>
  <cp:lastModifiedBy>Акулова Наталия Владимировна</cp:lastModifiedBy>
  <cp:revision>2</cp:revision>
  <dcterms:created xsi:type="dcterms:W3CDTF">2023-06-09T03:08:00Z</dcterms:created>
  <dcterms:modified xsi:type="dcterms:W3CDTF">2023-06-09T03:08:00Z</dcterms:modified>
</cp:coreProperties>
</file>