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6076" w:rsidRDefault="005C6076" w:rsidP="005C6076">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5. Особенности использования средств, предоставляемых отдельным юридическим лицам и индивидуальным предпринимателям, в 2021 году</w:t>
      </w:r>
    </w:p>
    <w:p w:rsidR="005C6076" w:rsidRDefault="005C6076" w:rsidP="005C6076">
      <w:pPr>
        <w:autoSpaceDE w:val="0"/>
        <w:autoSpaceDN w:val="0"/>
        <w:adjustRightInd w:val="0"/>
        <w:spacing w:after="0" w:line="240" w:lineRule="auto"/>
        <w:jc w:val="both"/>
        <w:rPr>
          <w:rFonts w:ascii="Arial" w:hAnsi="Arial" w:cs="Arial"/>
          <w:sz w:val="20"/>
          <w:szCs w:val="20"/>
        </w:rPr>
      </w:pPr>
    </w:p>
    <w:p w:rsidR="005C6076" w:rsidRDefault="005C6076" w:rsidP="005C6076">
      <w:pPr>
        <w:autoSpaceDE w:val="0"/>
        <w:autoSpaceDN w:val="0"/>
        <w:adjustRightInd w:val="0"/>
        <w:spacing w:after="0" w:line="240" w:lineRule="auto"/>
        <w:ind w:firstLine="540"/>
        <w:jc w:val="both"/>
        <w:rPr>
          <w:rFonts w:ascii="Arial" w:hAnsi="Arial" w:cs="Arial"/>
          <w:sz w:val="20"/>
          <w:szCs w:val="20"/>
        </w:rPr>
      </w:pPr>
      <w:bookmarkStart w:id="0" w:name="Par2"/>
      <w:bookmarkEnd w:id="0"/>
      <w:r>
        <w:rPr>
          <w:rFonts w:ascii="Arial" w:hAnsi="Arial" w:cs="Arial"/>
          <w:sz w:val="20"/>
          <w:szCs w:val="20"/>
        </w:rPr>
        <w:t xml:space="preserve">1. Установить, что в 2021 году в случаях, предусмотренных настоящей статьей, территориальные органы Федерального казначейства в порядке, установленном Правительством Российской Федерации, осуществляют казначейское сопровождение средств в валюте Российской Федерации, указанных в </w:t>
      </w:r>
      <w:hyperlink w:anchor="Par6" w:history="1">
        <w:r>
          <w:rPr>
            <w:rFonts w:ascii="Arial" w:hAnsi="Arial" w:cs="Arial"/>
            <w:color w:val="0000FF"/>
            <w:sz w:val="20"/>
            <w:szCs w:val="20"/>
          </w:rPr>
          <w:t>части 2</w:t>
        </w:r>
      </w:hyperlink>
      <w:r>
        <w:rPr>
          <w:rFonts w:ascii="Arial" w:hAnsi="Arial" w:cs="Arial"/>
          <w:sz w:val="20"/>
          <w:szCs w:val="20"/>
        </w:rPr>
        <w:t xml:space="preserve"> (с учетом положений </w:t>
      </w:r>
      <w:hyperlink w:anchor="Par17" w:history="1">
        <w:r>
          <w:rPr>
            <w:rFonts w:ascii="Arial" w:hAnsi="Arial" w:cs="Arial"/>
            <w:color w:val="0000FF"/>
            <w:sz w:val="20"/>
            <w:szCs w:val="20"/>
          </w:rPr>
          <w:t>частей 3</w:t>
        </w:r>
      </w:hyperlink>
      <w:r>
        <w:rPr>
          <w:rFonts w:ascii="Arial" w:hAnsi="Arial" w:cs="Arial"/>
          <w:sz w:val="20"/>
          <w:szCs w:val="20"/>
        </w:rPr>
        <w:t xml:space="preserve"> - </w:t>
      </w:r>
      <w:hyperlink w:anchor="Par52" w:history="1">
        <w:r>
          <w:rPr>
            <w:rFonts w:ascii="Arial" w:hAnsi="Arial" w:cs="Arial"/>
            <w:color w:val="0000FF"/>
            <w:sz w:val="20"/>
            <w:szCs w:val="20"/>
          </w:rPr>
          <w:t>6</w:t>
        </w:r>
      </w:hyperlink>
      <w:r>
        <w:rPr>
          <w:rFonts w:ascii="Arial" w:hAnsi="Arial" w:cs="Arial"/>
          <w:sz w:val="20"/>
          <w:szCs w:val="20"/>
        </w:rPr>
        <w:t xml:space="preserve">) настоящей статьи, включая остатки средств, предусмотренные </w:t>
      </w:r>
      <w:hyperlink w:anchor="Par72" w:history="1">
        <w:r>
          <w:rPr>
            <w:rFonts w:ascii="Arial" w:hAnsi="Arial" w:cs="Arial"/>
            <w:color w:val="0000FF"/>
            <w:sz w:val="20"/>
            <w:szCs w:val="20"/>
          </w:rPr>
          <w:t>частями 10</w:t>
        </w:r>
      </w:hyperlink>
      <w:r>
        <w:rPr>
          <w:rFonts w:ascii="Arial" w:hAnsi="Arial" w:cs="Arial"/>
          <w:sz w:val="20"/>
          <w:szCs w:val="20"/>
        </w:rPr>
        <w:t xml:space="preserve"> и </w:t>
      </w:r>
      <w:hyperlink w:anchor="Par73" w:history="1">
        <w:r>
          <w:rPr>
            <w:rFonts w:ascii="Arial" w:hAnsi="Arial" w:cs="Arial"/>
            <w:color w:val="0000FF"/>
            <w:sz w:val="20"/>
            <w:szCs w:val="20"/>
          </w:rPr>
          <w:t>11</w:t>
        </w:r>
      </w:hyperlink>
      <w:r>
        <w:rPr>
          <w:rFonts w:ascii="Arial" w:hAnsi="Arial" w:cs="Arial"/>
          <w:sz w:val="20"/>
          <w:szCs w:val="20"/>
        </w:rPr>
        <w:t xml:space="preserve"> настоящей статьи (далее - целевые средства).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казначейском сопровождении целевых средств операции по зачислению и списанию целевых средств осуществляются на казначейских счетах, открытых в территориальных органах Федерального казначейства, и отражаются на лицевых счетах, открытых в установленном Федеральным казначейством </w:t>
      </w:r>
      <w:hyperlink r:id="rId4" w:history="1">
        <w:r>
          <w:rPr>
            <w:rFonts w:ascii="Arial" w:hAnsi="Arial" w:cs="Arial"/>
            <w:color w:val="0000FF"/>
            <w:sz w:val="20"/>
            <w:szCs w:val="20"/>
          </w:rPr>
          <w:t>порядке</w:t>
        </w:r>
      </w:hyperlink>
      <w:r>
        <w:rPr>
          <w:rFonts w:ascii="Arial" w:hAnsi="Arial" w:cs="Arial"/>
          <w:sz w:val="20"/>
          <w:szCs w:val="20"/>
        </w:rPr>
        <w:t xml:space="preserve"> в территориальных органах Федерального казначейства юридическим лицам и индивидуальным предпринимателям.</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казначейском сопровождении целевых средств, за исключением целевых средств, указанных в </w:t>
      </w:r>
      <w:hyperlink w:anchor="Par13" w:history="1">
        <w:r>
          <w:rPr>
            <w:rFonts w:ascii="Arial" w:hAnsi="Arial" w:cs="Arial"/>
            <w:color w:val="0000FF"/>
            <w:sz w:val="20"/>
            <w:szCs w:val="20"/>
          </w:rPr>
          <w:t>пункте 7 части 2</w:t>
        </w:r>
      </w:hyperlink>
      <w:r>
        <w:rPr>
          <w:rFonts w:ascii="Arial" w:hAnsi="Arial" w:cs="Arial"/>
          <w:sz w:val="20"/>
          <w:szCs w:val="20"/>
        </w:rPr>
        <w:t xml:space="preserve"> настоящей статьи, территориальными органами Федерального казначейства в установленном Министерством финансов Российской Федерации порядке осуществляется санкционирование расходов, источником финансового обеспечения которых являются целевые средства.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казначейском сопровождении целевых средств юридические лица в соответствии с установленным Правительством Российской Федерации </w:t>
      </w:r>
      <w:hyperlink r:id="rId5" w:history="1">
        <w:r>
          <w:rPr>
            <w:rFonts w:ascii="Arial" w:hAnsi="Arial" w:cs="Arial"/>
            <w:color w:val="0000FF"/>
            <w:sz w:val="20"/>
            <w:szCs w:val="20"/>
          </w:rPr>
          <w:t>порядком</w:t>
        </w:r>
      </w:hyperlink>
      <w:r>
        <w:rPr>
          <w:rFonts w:ascii="Arial" w:hAnsi="Arial" w:cs="Arial"/>
          <w:sz w:val="20"/>
          <w:szCs w:val="20"/>
        </w:rPr>
        <w:t xml:space="preserve"> ведут раздельный учет результатов финансово-хозяйственной деятельности по каждому соглашению, государственному (муниципальному) контракту (контракту, договору) о поставке товаров, выполнении работ, оказании услуг.</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 w:name="Par6"/>
      <w:bookmarkEnd w:id="1"/>
      <w:r>
        <w:rPr>
          <w:rFonts w:ascii="Arial" w:hAnsi="Arial" w:cs="Arial"/>
          <w:sz w:val="20"/>
          <w:szCs w:val="20"/>
        </w:rPr>
        <w:t>2. Установить, что казначейскому сопровождению подлежат следующие целевые средства, направляемые в том числе на реализацию национальных проектов:</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2" w:name="Par7"/>
      <w:bookmarkEnd w:id="2"/>
      <w:r>
        <w:rPr>
          <w:rFonts w:ascii="Arial" w:hAnsi="Arial" w:cs="Arial"/>
          <w:sz w:val="20"/>
          <w:szCs w:val="20"/>
        </w:rPr>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6" w:history="1">
        <w:r>
          <w:rPr>
            <w:rFonts w:ascii="Arial" w:hAnsi="Arial" w:cs="Arial"/>
            <w:color w:val="0000FF"/>
            <w:sz w:val="20"/>
            <w:szCs w:val="20"/>
          </w:rPr>
          <w:t>статьей 80</w:t>
        </w:r>
      </w:hyperlink>
      <w:r>
        <w:rPr>
          <w:rFonts w:ascii="Arial" w:hAnsi="Arial" w:cs="Arial"/>
          <w:sz w:val="20"/>
          <w:szCs w:val="20"/>
        </w:rPr>
        <w:t xml:space="preserve"> Бюджетного кодекса Российской Федерации;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3" w:name="Par8"/>
      <w:bookmarkEnd w:id="3"/>
      <w:r>
        <w:rPr>
          <w:rFonts w:ascii="Arial" w:hAnsi="Arial" w:cs="Arial"/>
          <w:sz w:val="20"/>
          <w:szCs w:val="20"/>
        </w:rPr>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ar7" w:history="1">
        <w:r>
          <w:rPr>
            <w:rFonts w:ascii="Arial" w:hAnsi="Arial" w:cs="Arial"/>
            <w:color w:val="0000FF"/>
            <w:sz w:val="20"/>
            <w:szCs w:val="20"/>
          </w:rPr>
          <w:t>пункте 1</w:t>
        </w:r>
      </w:hyperlink>
      <w:r>
        <w:rPr>
          <w:rFonts w:ascii="Arial" w:hAnsi="Arial" w:cs="Arial"/>
          <w:sz w:val="20"/>
          <w:szCs w:val="20"/>
        </w:rPr>
        <w:t xml:space="preserve"> настоящей части;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4" w:name="Par9"/>
      <w:bookmarkEnd w:id="4"/>
      <w:r>
        <w:rPr>
          <w:rFonts w:ascii="Arial" w:hAnsi="Arial" w:cs="Arial"/>
          <w:sz w:val="20"/>
          <w:szCs w:val="20"/>
        </w:rPr>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ar7" w:history="1">
        <w:r>
          <w:rPr>
            <w:rFonts w:ascii="Arial" w:hAnsi="Arial" w:cs="Arial"/>
            <w:color w:val="0000FF"/>
            <w:sz w:val="20"/>
            <w:szCs w:val="20"/>
          </w:rPr>
          <w:t>пункте 1</w:t>
        </w:r>
      </w:hyperlink>
      <w:r>
        <w:rPr>
          <w:rFonts w:ascii="Arial" w:hAnsi="Arial" w:cs="Arial"/>
          <w:sz w:val="20"/>
          <w:szCs w:val="20"/>
        </w:rPr>
        <w:t xml:space="preserve"> настоящей части, а также получателями взносов (вкладов), указанных в </w:t>
      </w:r>
      <w:hyperlink w:anchor="Par8" w:history="1">
        <w:r>
          <w:rPr>
            <w:rFonts w:ascii="Arial" w:hAnsi="Arial" w:cs="Arial"/>
            <w:color w:val="0000FF"/>
            <w:sz w:val="20"/>
            <w:szCs w:val="20"/>
          </w:rPr>
          <w:t>пункте 2</w:t>
        </w:r>
      </w:hyperlink>
      <w:r>
        <w:rPr>
          <w:rFonts w:ascii="Arial" w:hAnsi="Arial" w:cs="Arial"/>
          <w:sz w:val="20"/>
          <w:szCs w:val="20"/>
        </w:rPr>
        <w:t xml:space="preserve">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5" w:name="Par10"/>
      <w:bookmarkEnd w:id="5"/>
      <w:r>
        <w:rPr>
          <w:rFonts w:ascii="Arial" w:hAnsi="Arial" w:cs="Arial"/>
          <w:sz w:val="20"/>
          <w:szCs w:val="20"/>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расчеты по государственным контрактам, заключаемым в соответствии с </w:t>
      </w:r>
      <w:hyperlink r:id="rId7" w:history="1">
        <w:r>
          <w:rPr>
            <w:rFonts w:ascii="Arial" w:hAnsi="Arial" w:cs="Arial"/>
            <w:color w:val="0000FF"/>
            <w:sz w:val="20"/>
            <w:szCs w:val="20"/>
          </w:rPr>
          <w:t>пунктом 2 части 1 статьи 93</w:t>
        </w:r>
      </w:hyperlink>
      <w:r>
        <w:rPr>
          <w:rFonts w:ascii="Arial" w:hAnsi="Arial" w:cs="Arial"/>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на сумму более 600,0 тыс. рублей, а также расчеты по контрактам (договорам), заключаемым в целях исполнения указанных государственных контрактов на сумму более 600,0 тыс. рублей;</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6" w:name="Par12"/>
      <w:bookmarkEnd w:id="6"/>
      <w:r>
        <w:rPr>
          <w:rFonts w:ascii="Arial" w:hAnsi="Arial" w:cs="Arial"/>
          <w:sz w:val="20"/>
          <w:szCs w:val="20"/>
        </w:rPr>
        <w:t xml:space="preserve">6)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history="1">
        <w:r>
          <w:rPr>
            <w:rFonts w:ascii="Arial" w:hAnsi="Arial" w:cs="Arial"/>
            <w:color w:val="0000FF"/>
            <w:sz w:val="20"/>
            <w:szCs w:val="20"/>
          </w:rPr>
          <w:t>абзацем вторым пункта 1 статьи 78.1</w:t>
        </w:r>
      </w:hyperlink>
      <w:r>
        <w:rPr>
          <w:rFonts w:ascii="Arial" w:hAnsi="Arial" w:cs="Arial"/>
          <w:sz w:val="20"/>
          <w:szCs w:val="20"/>
        </w:rPr>
        <w:t xml:space="preserve"> и </w:t>
      </w:r>
      <w:hyperlink r:id="rId9" w:history="1">
        <w:r>
          <w:rPr>
            <w:rFonts w:ascii="Arial" w:hAnsi="Arial" w:cs="Arial"/>
            <w:color w:val="0000FF"/>
            <w:sz w:val="20"/>
            <w:szCs w:val="20"/>
          </w:rPr>
          <w:t>статьей 78.2</w:t>
        </w:r>
      </w:hyperlink>
      <w:r>
        <w:rPr>
          <w:rFonts w:ascii="Arial" w:hAnsi="Arial" w:cs="Arial"/>
          <w:sz w:val="20"/>
          <w:szCs w:val="20"/>
        </w:rPr>
        <w:t xml:space="preserve"> Бюджетного кодекса Российской Федерации;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7" w:name="Par13"/>
      <w:bookmarkEnd w:id="7"/>
      <w:r>
        <w:rPr>
          <w:rFonts w:ascii="Arial" w:hAnsi="Arial" w:cs="Arial"/>
          <w:sz w:val="20"/>
          <w:szCs w:val="20"/>
        </w:rPr>
        <w:t xml:space="preserve">7) расчеты по государственным контрактам, заключаемым в целях реализации государственного оборонного заказа на сумму более 600,0 тыс. рублей, а также расчеты по контрактам (договорам), </w:t>
      </w:r>
      <w:r>
        <w:rPr>
          <w:rFonts w:ascii="Arial" w:hAnsi="Arial" w:cs="Arial"/>
          <w:sz w:val="20"/>
          <w:szCs w:val="20"/>
        </w:rPr>
        <w:lastRenderedPageBreak/>
        <w:t>заключаемым в рамках исполнения указанных государственных контрактов на сумму более 600,0 тыс. рублей;</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8" w:name="Par14"/>
      <w:bookmarkEnd w:id="8"/>
      <w:r>
        <w:rPr>
          <w:rFonts w:ascii="Arial" w:hAnsi="Arial" w:cs="Arial"/>
          <w:sz w:val="20"/>
          <w:szCs w:val="20"/>
        </w:rPr>
        <w:t xml:space="preserve">8) авансовые платежи по государственным (муниципальным) контрактам о поставке товаров, выполнении работ, оказании услуг, заключаемым на сумму 100 000,0 тыс. рублей и более государственными заказчиками для обеспечения государственных нужд субъекта Российской Федерации (муниципальными заказчиками для обеспечения муниципальных нужд), авансовые платежи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субсидии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бюджетные инвестиции в соответствии с концессионными соглашениями, предоставляемые из бюджета субъекта Российской Федерации (местного бюджета), если источником финансового обеспечения расходных обязательств субъекта Российской Федерации (муниципального образования)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Pr>
          <w:rFonts w:ascii="Arial" w:hAnsi="Arial" w:cs="Arial"/>
          <w:sz w:val="20"/>
          <w:szCs w:val="20"/>
        </w:rPr>
        <w:t>софинансирование</w:t>
      </w:r>
      <w:proofErr w:type="spellEnd"/>
      <w:r>
        <w:rPr>
          <w:rFonts w:ascii="Arial" w:hAnsi="Arial" w:cs="Arial"/>
          <w:sz w:val="20"/>
          <w:szCs w:val="20"/>
        </w:rPr>
        <w:t xml:space="preserve"> капитальных вложений в объекты государственной собственности субъекта Российской Федерации (муниципальной собственности);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9" w:name="Par15"/>
      <w:bookmarkEnd w:id="9"/>
      <w:r>
        <w:rPr>
          <w:rFonts w:ascii="Arial" w:hAnsi="Arial" w:cs="Arial"/>
          <w:sz w:val="20"/>
          <w:szCs w:val="20"/>
        </w:rPr>
        <w:t xml:space="preserve">9)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w:t>
      </w:r>
      <w:hyperlink w:anchor="Par9" w:history="1">
        <w:r>
          <w:rPr>
            <w:rFonts w:ascii="Arial" w:hAnsi="Arial" w:cs="Arial"/>
            <w:color w:val="0000FF"/>
            <w:sz w:val="20"/>
            <w:szCs w:val="20"/>
          </w:rPr>
          <w:t>пунктах 3</w:t>
        </w:r>
      </w:hyperlink>
      <w:r>
        <w:rPr>
          <w:rFonts w:ascii="Arial" w:hAnsi="Arial" w:cs="Arial"/>
          <w:sz w:val="20"/>
          <w:szCs w:val="20"/>
        </w:rPr>
        <w:t xml:space="preserve">, </w:t>
      </w:r>
      <w:hyperlink w:anchor="Par10" w:history="1">
        <w:r>
          <w:rPr>
            <w:rFonts w:ascii="Arial" w:hAnsi="Arial" w:cs="Arial"/>
            <w:color w:val="0000FF"/>
            <w:sz w:val="20"/>
            <w:szCs w:val="20"/>
          </w:rPr>
          <w:t>4</w:t>
        </w:r>
      </w:hyperlink>
      <w:r>
        <w:rPr>
          <w:rFonts w:ascii="Arial" w:hAnsi="Arial" w:cs="Arial"/>
          <w:sz w:val="20"/>
          <w:szCs w:val="20"/>
        </w:rPr>
        <w:t xml:space="preserve">, </w:t>
      </w:r>
      <w:hyperlink w:anchor="Par12" w:history="1">
        <w:r>
          <w:rPr>
            <w:rFonts w:ascii="Arial" w:hAnsi="Arial" w:cs="Arial"/>
            <w:color w:val="0000FF"/>
            <w:sz w:val="20"/>
            <w:szCs w:val="20"/>
          </w:rPr>
          <w:t>6</w:t>
        </w:r>
      </w:hyperlink>
      <w:r>
        <w:rPr>
          <w:rFonts w:ascii="Arial" w:hAnsi="Arial" w:cs="Arial"/>
          <w:sz w:val="20"/>
          <w:szCs w:val="20"/>
        </w:rPr>
        <w:t xml:space="preserve"> и </w:t>
      </w:r>
      <w:hyperlink w:anchor="Par14" w:history="1">
        <w:r>
          <w:rPr>
            <w:rFonts w:ascii="Arial" w:hAnsi="Arial" w:cs="Arial"/>
            <w:color w:val="0000FF"/>
            <w:sz w:val="20"/>
            <w:szCs w:val="20"/>
          </w:rPr>
          <w:t>8</w:t>
        </w:r>
      </w:hyperlink>
      <w:r>
        <w:rPr>
          <w:rFonts w:ascii="Arial" w:hAnsi="Arial" w:cs="Arial"/>
          <w:sz w:val="20"/>
          <w:szCs w:val="20"/>
        </w:rPr>
        <w:t xml:space="preserve"> настоящей части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концессионных соглашений;</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0" w:name="Par17"/>
      <w:bookmarkEnd w:id="10"/>
      <w:r>
        <w:rPr>
          <w:rFonts w:ascii="Arial" w:hAnsi="Arial" w:cs="Arial"/>
          <w:sz w:val="20"/>
          <w:szCs w:val="20"/>
        </w:rPr>
        <w:t xml:space="preserve">3. Положения </w:t>
      </w:r>
      <w:hyperlink w:anchor="Par7" w:history="1">
        <w:r>
          <w:rPr>
            <w:rFonts w:ascii="Arial" w:hAnsi="Arial" w:cs="Arial"/>
            <w:color w:val="0000FF"/>
            <w:sz w:val="20"/>
            <w:szCs w:val="20"/>
          </w:rPr>
          <w:t>пунктов 1</w:t>
        </w:r>
      </w:hyperlink>
      <w:r>
        <w:rPr>
          <w:rFonts w:ascii="Arial" w:hAnsi="Arial" w:cs="Arial"/>
          <w:sz w:val="20"/>
          <w:szCs w:val="20"/>
        </w:rPr>
        <w:t xml:space="preserve"> - </w:t>
      </w:r>
      <w:hyperlink w:anchor="Par15" w:history="1">
        <w:r>
          <w:rPr>
            <w:rFonts w:ascii="Arial" w:hAnsi="Arial" w:cs="Arial"/>
            <w:color w:val="0000FF"/>
            <w:sz w:val="20"/>
            <w:szCs w:val="20"/>
          </w:rPr>
          <w:t>9 части 2</w:t>
        </w:r>
      </w:hyperlink>
      <w:r>
        <w:rPr>
          <w:rFonts w:ascii="Arial" w:hAnsi="Arial" w:cs="Arial"/>
          <w:sz w:val="20"/>
          <w:szCs w:val="20"/>
        </w:rPr>
        <w:t xml:space="preserve"> и </w:t>
      </w:r>
      <w:hyperlink w:anchor="Par58" w:history="1">
        <w:r>
          <w:rPr>
            <w:rFonts w:ascii="Arial" w:hAnsi="Arial" w:cs="Arial"/>
            <w:color w:val="0000FF"/>
            <w:sz w:val="20"/>
            <w:szCs w:val="20"/>
          </w:rPr>
          <w:t>части 7</w:t>
        </w:r>
      </w:hyperlink>
      <w:r>
        <w:rPr>
          <w:rFonts w:ascii="Arial" w:hAnsi="Arial" w:cs="Arial"/>
          <w:sz w:val="20"/>
          <w:szCs w:val="20"/>
        </w:rPr>
        <w:t xml:space="preserve"> настоящей статьи не распространяются на средства: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предоставляемые из федерального бюджета: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банкам и государственной корпорации развития "ВЭБ.РФ";</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юридическим лицам в порядке возмещения недополученных доходов или возмещения фактически понесенных затрат в связи с производством (реализацией) товаров, выполнением работ, оказанием услуг;</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1" w:name="Par21"/>
      <w:bookmarkEnd w:id="11"/>
      <w:r>
        <w:rPr>
          <w:rFonts w:ascii="Arial" w:hAnsi="Arial" w:cs="Arial"/>
          <w:sz w:val="20"/>
          <w:szCs w:val="20"/>
        </w:rPr>
        <w:t xml:space="preserve">социально ориентированным некоммерческим организациям, осуществляющим деятельность, предусмотренную </w:t>
      </w:r>
      <w:hyperlink r:id="rId10" w:history="1">
        <w:r>
          <w:rPr>
            <w:rFonts w:ascii="Arial" w:hAnsi="Arial" w:cs="Arial"/>
            <w:color w:val="0000FF"/>
            <w:sz w:val="20"/>
            <w:szCs w:val="20"/>
          </w:rPr>
          <w:t>статьей 31.1</w:t>
        </w:r>
      </w:hyperlink>
      <w:r>
        <w:rPr>
          <w:rFonts w:ascii="Arial" w:hAnsi="Arial" w:cs="Arial"/>
          <w:sz w:val="20"/>
          <w:szCs w:val="20"/>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юридическим лицам за заслуги перед государством в области науки и техники, образования, культуры, искусства и средств массовой информации (гранты, кроме грантов, условиями предоставления которых установлено требование их использования после подтверждения на соответствие условиям и (или) целям, установленным при их предоставлении, гранты Президента Российской Федерации и Правительства Российской Федерации, премии, стипендии и иные поощрения);</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некоммерческим организациям в виде имущественного взноса на обеспечение культурной, образовательной и иной общественно полезной деятельности по решению Президента Российской Федерации;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предоставляемые на основании государственных (муниципальных) контрактов (контрактов, договоров, соглашений), заключаемых:</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w:t>
      </w:r>
      <w:r>
        <w:rPr>
          <w:rFonts w:ascii="Arial" w:hAnsi="Arial" w:cs="Arial"/>
          <w:sz w:val="20"/>
          <w:szCs w:val="20"/>
        </w:rPr>
        <w:lastRenderedPageBreak/>
        <w:t>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исполнение которых подлежит банковскому сопровождению;</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 государственными (муниципальными) казенными учреждениями, являющимися исполнителями государственных (муниципальных) контрактов (контрактов, договоров);</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предоставляемые для выполнения государственного оборонного заказа: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целях проведения операций, осуществляемых на отдельных счетах, открытых в уполномоченных банках в соответствии с Федеральным </w:t>
      </w:r>
      <w:hyperlink r:id="rId11" w:history="1">
        <w:r>
          <w:rPr>
            <w:rFonts w:ascii="Arial" w:hAnsi="Arial" w:cs="Arial"/>
            <w:color w:val="0000FF"/>
            <w:sz w:val="20"/>
            <w:szCs w:val="20"/>
          </w:rPr>
          <w:t>законом</w:t>
        </w:r>
      </w:hyperlink>
      <w:r>
        <w:rPr>
          <w:rFonts w:ascii="Arial" w:hAnsi="Arial" w:cs="Arial"/>
          <w:sz w:val="20"/>
          <w:szCs w:val="20"/>
        </w:rPr>
        <w:t xml:space="preserve"> от 29 декабря 2012 года N 275-ФЗ "О государственном оборонном заказе";</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обеспечения органов внешней разведки Российской Федерации средствами разведывательной деятельности;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обеспечения органов федеральной службы безопасности средствами контрразведывательной деятельности, борьбы с терроризмом;</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осуществления Федеральной службой охраны Российской Федерации проектно-изыскательских работ, капитального ремонта, строительства и реконструкции объектов капитального строительства в интересах объектов государственной охраны;</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целях обеспечения Государственной корпорации по атомной энергии "</w:t>
      </w:r>
      <w:proofErr w:type="spellStart"/>
      <w:r>
        <w:rPr>
          <w:rFonts w:ascii="Arial" w:hAnsi="Arial" w:cs="Arial"/>
          <w:sz w:val="20"/>
          <w:szCs w:val="20"/>
        </w:rPr>
        <w:t>Росатом</w:t>
      </w:r>
      <w:proofErr w:type="spellEnd"/>
      <w:r>
        <w:rPr>
          <w:rFonts w:ascii="Arial" w:hAnsi="Arial" w:cs="Arial"/>
          <w:sz w:val="20"/>
          <w:szCs w:val="20"/>
        </w:rPr>
        <w:t>" товарами, работами, услугами по разработке, испытаниям, производству, разборке и утилизации ядерных боеприпасов и ядерных зарядов, обеспечению их надежности и безопасности на всех стадиях жизненного цикла, поддержанию базовых и критических технологий на всех стадиях жизненного цикла ядерных боеприпасов, ядерных зарядов, в том числе по обеспечению ядерной и радиационной безопасности, формированию государственного запаса специального сырья и делящихся материалов;</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основании государственных контрактов,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аренды, осуществления работ по переносу (переустройству, присоединению) принадлежащих юридическим лицам инженерных сетей, коммуникаций, сооружений, а также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услуг по приему платежей от физических лиц, осуществляемых платежными агентами;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на основании государственных контрактов (контрактов, договоров), головными исполнителями, исполнителями которых являются государственные (муниципальные) казенные учреждения;</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на основании государственных контрактов, заключаемых в соответствии с </w:t>
      </w:r>
      <w:hyperlink r:id="rId12" w:history="1">
        <w:r>
          <w:rPr>
            <w:rFonts w:ascii="Arial" w:hAnsi="Arial" w:cs="Arial"/>
            <w:color w:val="0000FF"/>
            <w:sz w:val="20"/>
            <w:szCs w:val="20"/>
          </w:rPr>
          <w:t>пунктом 5 части 1 статьи 93</w:t>
        </w:r>
      </w:hyperlink>
      <w:r>
        <w:rPr>
          <w:rFonts w:ascii="Arial" w:hAnsi="Arial" w:cs="Arial"/>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в рамках выполнения государственного оборонного заказа;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по решению Правительства Российской Федерации, получаемые юридическими лицами, индивидуальными предпринимателями на основании контрактов (договоров), заключаемых в рамках исполнения соглашений (договоров) о предоставлении субсидий (бюджетных инвестиций).</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Установить, что при казначейском сопровождении средств государственного оборонного заказа: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государственный заказчик государственного оборонного заказа обязан:</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2" w:name="Par40"/>
      <w:bookmarkEnd w:id="12"/>
      <w:r>
        <w:rPr>
          <w:rFonts w:ascii="Arial" w:hAnsi="Arial" w:cs="Arial"/>
          <w:sz w:val="20"/>
          <w:szCs w:val="20"/>
        </w:rPr>
        <w:lastRenderedPageBreak/>
        <w:t>уведомлять до заключения государственного контракта головного исполнителя о необходимости открытия в территориальном органе Федерального казначейства соответствующего лицевого счета;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3" w:name="Par41"/>
      <w:bookmarkEnd w:id="13"/>
      <w:r>
        <w:rPr>
          <w:rFonts w:ascii="Arial" w:hAnsi="Arial" w:cs="Arial"/>
          <w:sz w:val="20"/>
          <w:szCs w:val="20"/>
        </w:rPr>
        <w:t>направлять в территориальный орган Федерального казначейства уведомление о полном исполнении государственного контракта;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головной исполнитель, исполнитель по государственному контракту, контракту (договору), заключаемым в рамках выполнения государственного оборонного заказа, обязаны:</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4" w:name="Par43"/>
      <w:bookmarkEnd w:id="14"/>
      <w:r>
        <w:rPr>
          <w:rFonts w:ascii="Arial" w:hAnsi="Arial" w:cs="Arial"/>
          <w:sz w:val="20"/>
          <w:szCs w:val="20"/>
        </w:rPr>
        <w:t xml:space="preserve">открывать лицевые счета, указанные в </w:t>
      </w:r>
      <w:hyperlink w:anchor="Par41" w:history="1">
        <w:r>
          <w:rPr>
            <w:rFonts w:ascii="Arial" w:hAnsi="Arial" w:cs="Arial"/>
            <w:color w:val="0000FF"/>
            <w:sz w:val="20"/>
            <w:szCs w:val="20"/>
          </w:rPr>
          <w:t>абзаце втором пункта 1</w:t>
        </w:r>
      </w:hyperlink>
      <w:r>
        <w:rPr>
          <w:rFonts w:ascii="Arial" w:hAnsi="Arial" w:cs="Arial"/>
          <w:sz w:val="20"/>
          <w:szCs w:val="20"/>
        </w:rPr>
        <w:t xml:space="preserve"> настоящей части;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соблюдать режим лицевых счетов, указанных в </w:t>
      </w:r>
      <w:hyperlink w:anchor="Par41" w:history="1">
        <w:r>
          <w:rPr>
            <w:rFonts w:ascii="Arial" w:hAnsi="Arial" w:cs="Arial"/>
            <w:color w:val="0000FF"/>
            <w:sz w:val="20"/>
            <w:szCs w:val="20"/>
          </w:rPr>
          <w:t>абзаце втором пункта 1</w:t>
        </w:r>
      </w:hyperlink>
      <w:r>
        <w:rPr>
          <w:rFonts w:ascii="Arial" w:hAnsi="Arial" w:cs="Arial"/>
          <w:sz w:val="20"/>
          <w:szCs w:val="20"/>
        </w:rPr>
        <w:t xml:space="preserve"> настоящей части;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уведомлять до заключения контрактов (договоров) исполнителей о необходимости открытия в территориальном органе Федерального казначейства лицевого счета, указанного в </w:t>
      </w:r>
      <w:hyperlink w:anchor="Par41" w:history="1">
        <w:r>
          <w:rPr>
            <w:rFonts w:ascii="Arial" w:hAnsi="Arial" w:cs="Arial"/>
            <w:color w:val="0000FF"/>
            <w:sz w:val="20"/>
            <w:szCs w:val="20"/>
          </w:rPr>
          <w:t>абзаце втором пункта 1</w:t>
        </w:r>
      </w:hyperlink>
      <w:r>
        <w:rPr>
          <w:rFonts w:ascii="Arial" w:hAnsi="Arial" w:cs="Arial"/>
          <w:sz w:val="20"/>
          <w:szCs w:val="20"/>
        </w:rPr>
        <w:t xml:space="preserve"> настоящей части;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5" w:name="Par46"/>
      <w:bookmarkEnd w:id="15"/>
      <w:r>
        <w:rPr>
          <w:rFonts w:ascii="Arial" w:hAnsi="Arial" w:cs="Arial"/>
          <w:sz w:val="20"/>
          <w:szCs w:val="20"/>
        </w:rPr>
        <w:t>представлять по запросу территориального органа Федерального казначейства и Федеральной службы по финансовому мониторингу в течение пяти рабочих дней со дня получения указанного запроса информацию о каждом привлеченном исполнителе (идентификационный номер налогоплательщика, код причины постановки на учет в налоговом органе).</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При казначейском сопровождении средств государственного оборонного заказа в условия государственного контракта, контракта (договора), заключаемых в рамках выполнения государственного оборонного заказа, включаются:</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положения о применении казначейского сопровождения средств при исполнении государственного контракта, контракта (договора);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положения, содержащиеся в </w:t>
      </w:r>
      <w:hyperlink w:anchor="Par43" w:history="1">
        <w:r>
          <w:rPr>
            <w:rFonts w:ascii="Arial" w:hAnsi="Arial" w:cs="Arial"/>
            <w:color w:val="0000FF"/>
            <w:sz w:val="20"/>
            <w:szCs w:val="20"/>
          </w:rPr>
          <w:t>абзацах втором</w:t>
        </w:r>
      </w:hyperlink>
      <w:r>
        <w:rPr>
          <w:rFonts w:ascii="Arial" w:hAnsi="Arial" w:cs="Arial"/>
          <w:sz w:val="20"/>
          <w:szCs w:val="20"/>
        </w:rPr>
        <w:t xml:space="preserve"> - </w:t>
      </w:r>
      <w:hyperlink w:anchor="Par46" w:history="1">
        <w:r>
          <w:rPr>
            <w:rFonts w:ascii="Arial" w:hAnsi="Arial" w:cs="Arial"/>
            <w:color w:val="0000FF"/>
            <w:sz w:val="20"/>
            <w:szCs w:val="20"/>
          </w:rPr>
          <w:t>пятом пункта 2 части 4</w:t>
        </w:r>
      </w:hyperlink>
      <w:r>
        <w:rPr>
          <w:rFonts w:ascii="Arial" w:hAnsi="Arial" w:cs="Arial"/>
          <w:sz w:val="20"/>
          <w:szCs w:val="20"/>
        </w:rPr>
        <w:t xml:space="preserve"> настоящей статьи;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положения о перечислении прибыли в размере, согласованном сторонами при заключении контракта (договора) и предусмотренном его условиями, после исполнения контракта (договора) и представления в территориальный орган Федерального казначейства акта приема-передачи товара (акта выполненных работ, оказанных услуг);</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положения о перечислении средств государственного оборонного заказа головным исполнителем в согласованном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если результатом такого частичного исполнения являются принятые государственным заказчиком товары, работы, услуги.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6" w:name="Par52"/>
      <w:bookmarkEnd w:id="16"/>
      <w:r>
        <w:rPr>
          <w:rFonts w:ascii="Arial" w:hAnsi="Arial" w:cs="Arial"/>
          <w:sz w:val="20"/>
          <w:szCs w:val="20"/>
        </w:rPr>
        <w:t>6. При казначейском сопровождении средств государственного оборонного заказа Правительство Российской Федерации определяет:</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w:t>
      </w:r>
      <w:hyperlink r:id="rId13" w:history="1">
        <w:r>
          <w:rPr>
            <w:rFonts w:ascii="Arial" w:hAnsi="Arial" w:cs="Arial"/>
            <w:color w:val="0000FF"/>
            <w:sz w:val="20"/>
            <w:szCs w:val="20"/>
          </w:rPr>
          <w:t>режим</w:t>
        </w:r>
      </w:hyperlink>
      <w:r>
        <w:rPr>
          <w:rFonts w:ascii="Arial" w:hAnsi="Arial" w:cs="Arial"/>
          <w:sz w:val="20"/>
          <w:szCs w:val="20"/>
        </w:rPr>
        <w:t xml:space="preserve"> лицевых счетов, указанных в </w:t>
      </w:r>
      <w:hyperlink w:anchor="Par40" w:history="1">
        <w:r>
          <w:rPr>
            <w:rFonts w:ascii="Arial" w:hAnsi="Arial" w:cs="Arial"/>
            <w:color w:val="0000FF"/>
            <w:sz w:val="20"/>
            <w:szCs w:val="20"/>
          </w:rPr>
          <w:t>абзаце втором пункта 1 части 4</w:t>
        </w:r>
      </w:hyperlink>
      <w:r>
        <w:rPr>
          <w:rFonts w:ascii="Arial" w:hAnsi="Arial" w:cs="Arial"/>
          <w:sz w:val="20"/>
          <w:szCs w:val="20"/>
        </w:rPr>
        <w:t xml:space="preserve"> настоящей статьи, и порядок осуществления контроля за его соблюдением, а также особенности закрытия таких лицевых счетов;</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w:t>
      </w:r>
      <w:hyperlink r:id="rId14" w:history="1">
        <w:r>
          <w:rPr>
            <w:rFonts w:ascii="Arial" w:hAnsi="Arial" w:cs="Arial"/>
            <w:color w:val="0000FF"/>
            <w:sz w:val="20"/>
            <w:szCs w:val="20"/>
          </w:rPr>
          <w:t>порядок</w:t>
        </w:r>
      </w:hyperlink>
      <w:r>
        <w:rPr>
          <w:rFonts w:ascii="Arial" w:hAnsi="Arial" w:cs="Arial"/>
          <w:sz w:val="20"/>
          <w:szCs w:val="20"/>
        </w:rPr>
        <w:t xml:space="preserve"> санкционирования расходов, источником финансового обеспечения которых являются средства государственного оборонного заказа;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w:t>
      </w:r>
      <w:hyperlink r:id="rId15" w:history="1">
        <w:r>
          <w:rPr>
            <w:rFonts w:ascii="Arial" w:hAnsi="Arial" w:cs="Arial"/>
            <w:color w:val="0000FF"/>
            <w:sz w:val="20"/>
            <w:szCs w:val="20"/>
          </w:rPr>
          <w:t>порядок</w:t>
        </w:r>
      </w:hyperlink>
      <w:r>
        <w:rPr>
          <w:rFonts w:ascii="Arial" w:hAnsi="Arial" w:cs="Arial"/>
          <w:sz w:val="20"/>
          <w:szCs w:val="20"/>
        </w:rPr>
        <w:t xml:space="preserve"> приостановления открытия (отказа в открытии) лицевых счетов, указанных в </w:t>
      </w:r>
      <w:hyperlink w:anchor="Par40" w:history="1">
        <w:r>
          <w:rPr>
            <w:rFonts w:ascii="Arial" w:hAnsi="Arial" w:cs="Arial"/>
            <w:color w:val="0000FF"/>
            <w:sz w:val="20"/>
            <w:szCs w:val="20"/>
          </w:rPr>
          <w:t>абзаце втором пункта 1 части 4</w:t>
        </w:r>
      </w:hyperlink>
      <w:r>
        <w:rPr>
          <w:rFonts w:ascii="Arial" w:hAnsi="Arial" w:cs="Arial"/>
          <w:sz w:val="20"/>
          <w:szCs w:val="20"/>
        </w:rPr>
        <w:t xml:space="preserve"> настоящей статьи, по критериям, установленным Федеральным казначейством по согласованию с Федеральной службой по финансовому мониторингу;</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w:t>
      </w:r>
      <w:hyperlink r:id="rId16" w:history="1">
        <w:r>
          <w:rPr>
            <w:rFonts w:ascii="Arial" w:hAnsi="Arial" w:cs="Arial"/>
            <w:color w:val="0000FF"/>
            <w:sz w:val="20"/>
            <w:szCs w:val="20"/>
          </w:rPr>
          <w:t>порядок</w:t>
        </w:r>
      </w:hyperlink>
      <w:r>
        <w:rPr>
          <w:rFonts w:ascii="Arial" w:hAnsi="Arial" w:cs="Arial"/>
          <w:sz w:val="20"/>
          <w:szCs w:val="20"/>
        </w:rPr>
        <w:t xml:space="preserve"> приостановления (отмены приостановления) операций по лицевым счетам, указанным в </w:t>
      </w:r>
      <w:hyperlink w:anchor="Par40" w:history="1">
        <w:r>
          <w:rPr>
            <w:rFonts w:ascii="Arial" w:hAnsi="Arial" w:cs="Arial"/>
            <w:color w:val="0000FF"/>
            <w:sz w:val="20"/>
            <w:szCs w:val="20"/>
          </w:rPr>
          <w:t>абзаце втором пункта 1 части 4</w:t>
        </w:r>
      </w:hyperlink>
      <w:r>
        <w:rPr>
          <w:rFonts w:ascii="Arial" w:hAnsi="Arial" w:cs="Arial"/>
          <w:sz w:val="20"/>
          <w:szCs w:val="20"/>
        </w:rPr>
        <w:t xml:space="preserve"> настоящей статьи, и отказа в проведении приостановленной операции территориальными органами Федерального казначейства по критериям, установленным Министерством финансов Российской Федерации по согласованию с Федеральной службой по финансовому мониторингу;</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5) иные положения при казначейском сопровождении средств государственного оборонного заказа.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7" w:name="Par58"/>
      <w:bookmarkEnd w:id="17"/>
      <w:r>
        <w:rPr>
          <w:rFonts w:ascii="Arial" w:hAnsi="Arial" w:cs="Arial"/>
          <w:sz w:val="20"/>
          <w:szCs w:val="20"/>
        </w:rPr>
        <w:t xml:space="preserve">7. Установить, что территориальные органы Федерального казначейства осуществляют в установленном Правительством Российской Федерации порядке, указанном в </w:t>
      </w:r>
      <w:hyperlink w:anchor="Par2" w:history="1">
        <w:r>
          <w:rPr>
            <w:rFonts w:ascii="Arial" w:hAnsi="Arial" w:cs="Arial"/>
            <w:color w:val="0000FF"/>
            <w:sz w:val="20"/>
            <w:szCs w:val="20"/>
          </w:rPr>
          <w:t>части 1</w:t>
        </w:r>
      </w:hyperlink>
      <w:r>
        <w:rPr>
          <w:rFonts w:ascii="Arial" w:hAnsi="Arial" w:cs="Arial"/>
          <w:sz w:val="20"/>
          <w:szCs w:val="20"/>
        </w:rPr>
        <w:t xml:space="preserve"> настоящей статьи, на основании обращения финансового органа субъекта Российской Федерации (муниципального образования) казначейское сопровождение:</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субсидий (грантов в форме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 предпринимателям,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бюджетам субъектов Российской Федерации в целях </w:t>
      </w:r>
      <w:proofErr w:type="spellStart"/>
      <w:r>
        <w:rPr>
          <w:rFonts w:ascii="Arial" w:hAnsi="Arial" w:cs="Arial"/>
          <w:sz w:val="20"/>
          <w:szCs w:val="20"/>
        </w:rPr>
        <w:t>софинансирования</w:t>
      </w:r>
      <w:proofErr w:type="spellEnd"/>
      <w:r>
        <w:rPr>
          <w:rFonts w:ascii="Arial" w:hAnsi="Arial" w:cs="Arial"/>
          <w:sz w:val="20"/>
          <w:szCs w:val="20"/>
        </w:rPr>
        <w:t xml:space="preserve"> расходных обязательств указанных субъектов Российской Федерации по поддержке отраслей промышленности и сельского хозяйства, а также авансовых платежей по контрактам (договорам), источником финансового обеспечения которых являются указанные субсидии;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в многоквартирных домах, уплаченных собственниками помещений в многоквартирных домах, а также авансовых платежей по контрактам (договорам), источником финансового обеспечения которых являются указанные субсидии и средства;</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субсидий, предоставляемых из бюджета субъекта Российской Федерации общественно-государственной организации, созданной в соответствии с указом Президента Российской Федерации, в случае, если в соответствии с </w:t>
      </w:r>
      <w:hyperlink w:anchor="Par6" w:history="1">
        <w:r>
          <w:rPr>
            <w:rFonts w:ascii="Arial" w:hAnsi="Arial" w:cs="Arial"/>
            <w:color w:val="0000FF"/>
            <w:sz w:val="20"/>
            <w:szCs w:val="20"/>
          </w:rPr>
          <w:t>частью 2</w:t>
        </w:r>
      </w:hyperlink>
      <w:r>
        <w:rPr>
          <w:rFonts w:ascii="Arial" w:hAnsi="Arial" w:cs="Arial"/>
          <w:sz w:val="20"/>
          <w:szCs w:val="20"/>
        </w:rPr>
        <w:t xml:space="preserve"> настоящей статьи субсидии, предоставляемые данной организации из федерального бюджета, подлежат казначейскому сопровождению, а также расчетов, связанных с исполнением контрактов (договоров), источником финансового обеспечения которых являются указанные субсидии.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8" w:name="Par62"/>
      <w:bookmarkEnd w:id="18"/>
      <w:r>
        <w:rPr>
          <w:rFonts w:ascii="Arial" w:hAnsi="Arial" w:cs="Arial"/>
          <w:sz w:val="20"/>
          <w:szCs w:val="20"/>
        </w:rPr>
        <w:t>8. Установить, что перечисление средств по оплате обязательств юридических лиц в пределах суммы, необходимой для оплаты фактически поставленных товаров, выполненных работ, оказанных услуг (далее - казначейское обеспечение обязательств), осуществляется в соответствии с настоящей частью в отношении: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субсидий, указанных в </w:t>
      </w:r>
      <w:hyperlink w:anchor="Par7" w:history="1">
        <w:r>
          <w:rPr>
            <w:rFonts w:ascii="Arial" w:hAnsi="Arial" w:cs="Arial"/>
            <w:color w:val="0000FF"/>
            <w:sz w:val="20"/>
            <w:szCs w:val="20"/>
          </w:rPr>
          <w:t>пункте 1 части 2</w:t>
        </w:r>
      </w:hyperlink>
      <w:r>
        <w:rPr>
          <w:rFonts w:ascii="Arial" w:hAnsi="Arial" w:cs="Arial"/>
          <w:sz w:val="20"/>
          <w:szCs w:val="20"/>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Arial" w:hAnsi="Arial" w:cs="Arial"/>
          <w:sz w:val="20"/>
          <w:szCs w:val="20"/>
        </w:rPr>
        <w:t>Роскосмос</w:t>
      </w:r>
      <w:proofErr w:type="spellEnd"/>
      <w:r>
        <w:rPr>
          <w:rFonts w:ascii="Arial" w:hAnsi="Arial" w:cs="Arial"/>
          <w:sz w:val="20"/>
          <w:szCs w:val="20"/>
        </w:rPr>
        <w:t>", Государственной корпорации по атомной энергии "</w:t>
      </w:r>
      <w:proofErr w:type="spellStart"/>
      <w:r>
        <w:rPr>
          <w:rFonts w:ascii="Arial" w:hAnsi="Arial" w:cs="Arial"/>
          <w:sz w:val="20"/>
          <w:szCs w:val="20"/>
        </w:rPr>
        <w:t>Росатом</w:t>
      </w:r>
      <w:proofErr w:type="spellEnd"/>
      <w:r>
        <w:rPr>
          <w:rFonts w:ascii="Arial" w:hAnsi="Arial" w:cs="Arial"/>
          <w:sz w:val="20"/>
          <w:szCs w:val="20"/>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том числе государственных контрактов, предметом которых является строительство (реконструкция) объектов государственной собственности Российской Федерации, включенных в федеральную адресную инвестиционную программу на 2021 год, а также контрактов (договоров), заключаемых в рамках их исполнения;</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средств, получаемых юридическими лицами в случаях, установленных Правительством Российской Федерации.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9.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62" w:history="1">
        <w:r>
          <w:rPr>
            <w:rFonts w:ascii="Arial" w:hAnsi="Arial" w:cs="Arial"/>
            <w:color w:val="0000FF"/>
            <w:sz w:val="20"/>
            <w:szCs w:val="20"/>
          </w:rPr>
          <w:t>части 8</w:t>
        </w:r>
      </w:hyperlink>
      <w:r>
        <w:rPr>
          <w:rFonts w:ascii="Arial" w:hAnsi="Arial" w:cs="Arial"/>
          <w:sz w:val="20"/>
          <w:szCs w:val="20"/>
        </w:rPr>
        <w:t xml:space="preserve"> настоящей статьи, а также контрактов (договоров), заключаемых в рамках их исполнения.</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Казначейское обеспечение обязательств при казначейском сопровождении целевых средств осуществляется в порядке, установленном Министерством финансов Российской Федерации.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Федеральное казначейство устанавливает формы документов, применяемых при казначейском обеспечении обязательств при казначейском сопровождении целевых средств, и порядок их заполнения.</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Правительство Российской Федерации устанавливает случаи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 Условие о казначейском обеспечении обязательств включается в условия указанных государственных контрактов, а также контрактов (договоров), заключаемых в рамках их исполнения.</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Казначейское обеспечение обязательств при банковском сопровождении государственных контрактов осуществляется в порядке, установленном Министерством финансов Российской Федерации и Центральным банком Российской Федерации.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Центральный банк Российской Федерации по согласованию с Федеральным казначейством устанавливает формы документов, применяемых при казначейском обеспечении обязательств при банковском сопровождении государственных контрактов, и порядок их заполнения.</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19" w:name="Par72"/>
      <w:bookmarkEnd w:id="19"/>
      <w:r>
        <w:rPr>
          <w:rFonts w:ascii="Arial" w:hAnsi="Arial" w:cs="Arial"/>
          <w:sz w:val="20"/>
          <w:szCs w:val="20"/>
        </w:rPr>
        <w:t xml:space="preserve">10.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2021 года, подлежат использованию этими юридическими лицами в соответствии с решениями, указанными в </w:t>
      </w:r>
      <w:hyperlink w:anchor="Par73" w:history="1">
        <w:r>
          <w:rPr>
            <w:rFonts w:ascii="Arial" w:hAnsi="Arial" w:cs="Arial"/>
            <w:color w:val="0000FF"/>
            <w:sz w:val="20"/>
            <w:szCs w:val="20"/>
          </w:rPr>
          <w:t>части 11</w:t>
        </w:r>
      </w:hyperlink>
      <w:r>
        <w:rPr>
          <w:rFonts w:ascii="Arial" w:hAnsi="Arial" w:cs="Arial"/>
          <w:sz w:val="20"/>
          <w:szCs w:val="20"/>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20" w:name="Par73"/>
      <w:bookmarkEnd w:id="20"/>
      <w:r>
        <w:rPr>
          <w:rFonts w:ascii="Arial" w:hAnsi="Arial" w:cs="Arial"/>
          <w:sz w:val="20"/>
          <w:szCs w:val="20"/>
        </w:rPr>
        <w:t xml:space="preserve">11.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72" w:history="1">
        <w:r>
          <w:rPr>
            <w:rFonts w:ascii="Arial" w:hAnsi="Arial" w:cs="Arial"/>
            <w:color w:val="0000FF"/>
            <w:sz w:val="20"/>
            <w:szCs w:val="20"/>
          </w:rPr>
          <w:t>части 10</w:t>
        </w:r>
      </w:hyperlink>
      <w:r>
        <w:rPr>
          <w:rFonts w:ascii="Arial" w:hAnsi="Arial" w:cs="Arial"/>
          <w:sz w:val="20"/>
          <w:szCs w:val="20"/>
        </w:rPr>
        <w:t xml:space="preserve"> настоящей статьи, принимают до 1 мая 2021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на цели, ранее установленные условиями предоставления целевых средств;</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на иные цели, определенные настоящим Федеральным законом, с последующим сокращением бюджетных ассигнований на предоставление в 2021 году соответствующим юридическим лицам взносов в их уставные (складочные) капиталы.</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21" w:name="Par76"/>
      <w:bookmarkEnd w:id="21"/>
      <w:r>
        <w:rPr>
          <w:rFonts w:ascii="Arial" w:hAnsi="Arial" w:cs="Arial"/>
          <w:sz w:val="20"/>
          <w:szCs w:val="20"/>
        </w:rPr>
        <w:t xml:space="preserve">12.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ar72" w:history="1">
        <w:r>
          <w:rPr>
            <w:rFonts w:ascii="Arial" w:hAnsi="Arial" w:cs="Arial"/>
            <w:color w:val="0000FF"/>
            <w:sz w:val="20"/>
            <w:szCs w:val="20"/>
          </w:rPr>
          <w:t>части 10</w:t>
        </w:r>
      </w:hyperlink>
      <w:r>
        <w:rPr>
          <w:rFonts w:ascii="Arial" w:hAnsi="Arial" w:cs="Arial"/>
          <w:sz w:val="20"/>
          <w:szCs w:val="20"/>
        </w:rPr>
        <w:t xml:space="preserve"> настоящей статьи, принимают решения об использовании указанных средств для достижения целей, установленных при их предоставлении.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bookmarkStart w:id="22" w:name="Par77"/>
      <w:bookmarkEnd w:id="22"/>
      <w:r>
        <w:rPr>
          <w:rFonts w:ascii="Arial" w:hAnsi="Arial" w:cs="Arial"/>
          <w:sz w:val="20"/>
          <w:szCs w:val="20"/>
        </w:rPr>
        <w:t xml:space="preserve">13. При отсутствии решений, указанных в </w:t>
      </w:r>
      <w:hyperlink w:anchor="Par73" w:history="1">
        <w:r>
          <w:rPr>
            <w:rFonts w:ascii="Arial" w:hAnsi="Arial" w:cs="Arial"/>
            <w:color w:val="0000FF"/>
            <w:sz w:val="20"/>
            <w:szCs w:val="20"/>
          </w:rPr>
          <w:t>частях 11</w:t>
        </w:r>
      </w:hyperlink>
      <w:r>
        <w:rPr>
          <w:rFonts w:ascii="Arial" w:hAnsi="Arial" w:cs="Arial"/>
          <w:sz w:val="20"/>
          <w:szCs w:val="20"/>
        </w:rPr>
        <w:t xml:space="preserve"> и </w:t>
      </w:r>
      <w:hyperlink w:anchor="Par76" w:history="1">
        <w:r>
          <w:rPr>
            <w:rFonts w:ascii="Arial" w:hAnsi="Arial" w:cs="Arial"/>
            <w:color w:val="0000FF"/>
            <w:sz w:val="20"/>
            <w:szCs w:val="20"/>
          </w:rPr>
          <w:t>12</w:t>
        </w:r>
      </w:hyperlink>
      <w:r>
        <w:rPr>
          <w:rFonts w:ascii="Arial" w:hAnsi="Arial" w:cs="Arial"/>
          <w:sz w:val="20"/>
          <w:szCs w:val="20"/>
        </w:rPr>
        <w:t xml:space="preserve"> настоящей статьи, по состоянию на 1 мая 2021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указанных в </w:t>
      </w:r>
      <w:hyperlink w:anchor="Par21" w:history="1">
        <w:r>
          <w:rPr>
            <w:rFonts w:ascii="Arial" w:hAnsi="Arial" w:cs="Arial"/>
            <w:color w:val="0000FF"/>
            <w:sz w:val="20"/>
            <w:szCs w:val="20"/>
          </w:rPr>
          <w:t>абзаце четвертом пункта 1 части 3</w:t>
        </w:r>
      </w:hyperlink>
      <w:r>
        <w:rPr>
          <w:rFonts w:ascii="Arial" w:hAnsi="Arial" w:cs="Arial"/>
          <w:sz w:val="20"/>
          <w:szCs w:val="20"/>
        </w:rPr>
        <w:t xml:space="preserve"> настоящей статьи) и средства от возврата дебиторской задолженности, указанные в </w:t>
      </w:r>
      <w:hyperlink w:anchor="Par73" w:history="1">
        <w:r>
          <w:rPr>
            <w:rFonts w:ascii="Arial" w:hAnsi="Arial" w:cs="Arial"/>
            <w:color w:val="0000FF"/>
            <w:sz w:val="20"/>
            <w:szCs w:val="20"/>
          </w:rPr>
          <w:t>частях 11</w:t>
        </w:r>
      </w:hyperlink>
      <w:r>
        <w:rPr>
          <w:rFonts w:ascii="Arial" w:hAnsi="Arial" w:cs="Arial"/>
          <w:sz w:val="20"/>
          <w:szCs w:val="20"/>
        </w:rPr>
        <w:t xml:space="preserve"> и </w:t>
      </w:r>
      <w:hyperlink w:anchor="Par76" w:history="1">
        <w:r>
          <w:rPr>
            <w:rFonts w:ascii="Arial" w:hAnsi="Arial" w:cs="Arial"/>
            <w:color w:val="0000FF"/>
            <w:sz w:val="20"/>
            <w:szCs w:val="20"/>
          </w:rPr>
          <w:t>12</w:t>
        </w:r>
      </w:hyperlink>
      <w:r>
        <w:rPr>
          <w:rFonts w:ascii="Arial" w:hAnsi="Arial" w:cs="Arial"/>
          <w:sz w:val="20"/>
          <w:szCs w:val="20"/>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5C6076" w:rsidRDefault="005C6076" w:rsidP="005C6076">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14. В случае неисполнения юридическими лицами требования, установленного </w:t>
      </w:r>
      <w:hyperlink w:anchor="Par77" w:history="1">
        <w:r>
          <w:rPr>
            <w:rFonts w:ascii="Arial" w:hAnsi="Arial" w:cs="Arial"/>
            <w:color w:val="0000FF"/>
            <w:sz w:val="20"/>
            <w:szCs w:val="20"/>
          </w:rPr>
          <w:t>частью 13</w:t>
        </w:r>
      </w:hyperlink>
      <w:r>
        <w:rPr>
          <w:rFonts w:ascii="Arial" w:hAnsi="Arial" w:cs="Arial"/>
          <w:sz w:val="20"/>
          <w:szCs w:val="20"/>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614694" w:rsidRDefault="00614694">
      <w:bookmarkStart w:id="23" w:name="_GoBack"/>
      <w:bookmarkEnd w:id="23"/>
    </w:p>
    <w:sectPr w:rsidR="00614694" w:rsidSect="00DF1B22">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B4F"/>
    <w:rsid w:val="00507B4F"/>
    <w:rsid w:val="005C6076"/>
    <w:rsid w:val="006146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F49DCF-9754-46D4-B0C2-9788072C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60868344966454569F75078F6CAAD4FA1CC9BF860E4C16D7D343735868BDE3CA39DB8CE9D76F592E7868F80DE82152E974013B5B2842X7H" TargetMode="External"/><Relationship Id="rId13" Type="http://schemas.openxmlformats.org/officeDocument/2006/relationships/hyperlink" Target="consultantplus://offline/ref=F060868344966454569F75078F6CAAD4FA1ECDB382014C16D7D343735868BDE3CA39DB8EE8D36951792278FC44BD284CED681F3B4528265E4FX3H"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060868344966454569F75078F6CAAD4FA1CCAB6870C4C16D7D343735868BDE3CA39DB8EE9D36B592E7868F80DE82152E974013B5B2842X7H" TargetMode="External"/><Relationship Id="rId12" Type="http://schemas.openxmlformats.org/officeDocument/2006/relationships/hyperlink" Target="consultantplus://offline/ref=F060868344966454569F75078F6CAAD4FA1CCAB6870C4C16D7D343735868BDE3CA39DB8EEFDB60592E7868F80DE82152E974013B5B2842X7H"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F060868344966454569F75078F6CAAD4FA1ECDB382014C16D7D343735868BDE3CA39DB8EE8D368527E2278FC44BD284CED681F3B4528265E4FX3H" TargetMode="External"/><Relationship Id="rId1" Type="http://schemas.openxmlformats.org/officeDocument/2006/relationships/styles" Target="styles.xml"/><Relationship Id="rId6" Type="http://schemas.openxmlformats.org/officeDocument/2006/relationships/hyperlink" Target="consultantplus://offline/ref=F060868344966454569F75078F6CAAD4FA1CC9BF860E4C16D7D343735868BDE3CA39DB8EE8D06856782278FC44BD284CED681F3B4528265E4FX3H" TargetMode="External"/><Relationship Id="rId11" Type="http://schemas.openxmlformats.org/officeDocument/2006/relationships/hyperlink" Target="consultantplus://offline/ref=F060868344966454569F75078F6CAAD4FA1ECCB288004C16D7D343735868BDE3D8398382E8D7775278372EAD024EX9H" TargetMode="External"/><Relationship Id="rId5" Type="http://schemas.openxmlformats.org/officeDocument/2006/relationships/hyperlink" Target="consultantplus://offline/ref=F060868344966454569F75078F6CAAD4FA1BCBB0840E4C16D7D343735868BDE3CA39DB8EE38738162F242CA91EE82752EB761D43X8H" TargetMode="External"/><Relationship Id="rId15" Type="http://schemas.openxmlformats.org/officeDocument/2006/relationships/hyperlink" Target="consultantplus://offline/ref=F060868344966454569F75078F6CAAD4FA1ECDB382014C16D7D343735868BDE3CA39DB8EE8D36953732278FC44BD284CED681F3B4528265E4FX3H" TargetMode="External"/><Relationship Id="rId10" Type="http://schemas.openxmlformats.org/officeDocument/2006/relationships/hyperlink" Target="consultantplus://offline/ref=F060868344966454569F75078F6CAAD4FA1ECEBE870F4C16D7D343735868BDE3CA39DB8EEBD762062B6D79A000EC3B4CEB681D395942XBH" TargetMode="External"/><Relationship Id="rId4" Type="http://schemas.openxmlformats.org/officeDocument/2006/relationships/hyperlink" Target="consultantplus://offline/ref=F060868344966454569F75078F6CAAD4FA1CC4B7870D4C16D7D343735868BDE3CA39DB8EE8D36953722278FC44BD284CED681F3B4528265E4FX3H" TargetMode="External"/><Relationship Id="rId9" Type="http://schemas.openxmlformats.org/officeDocument/2006/relationships/hyperlink" Target="consultantplus://offline/ref=F060868344966454569F75078F6CAAD4FA1CC9BF860E4C16D7D343735868BDE3CA39DB8EE8D06D51792278FC44BD284CED681F3B4528265E4FX3H" TargetMode="External"/><Relationship Id="rId14" Type="http://schemas.openxmlformats.org/officeDocument/2006/relationships/hyperlink" Target="consultantplus://offline/ref=F060868344966454569F75078F6CAAD4FA1ECDB382014C16D7D343735868BDE3CA39DB8EE8D369577B2278FC44BD284CED681F3B4528265E4FX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4064</Words>
  <Characters>23165</Characters>
  <Application>Microsoft Office Word</Application>
  <DocSecurity>0</DocSecurity>
  <Lines>193</Lines>
  <Paragraphs>54</Paragraphs>
  <ScaleCrop>false</ScaleCrop>
  <Company>УФК по Республике Хакасия</Company>
  <LinksUpToDate>false</LinksUpToDate>
  <CharactersWithSpaces>27175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Гейль Татьяна Николаевна</dc:creator>
  <cp:keywords/>
  <dc:description/>
  <cp:lastModifiedBy>Гейль Татьяна Николаевна</cp:lastModifiedBy>
  <cp:revision>2</cp:revision>
  <dcterms:created xsi:type="dcterms:W3CDTF">2021-02-04T07:24:00Z</dcterms:created>
  <dcterms:modified xsi:type="dcterms:W3CDTF">2021-02-04T07:24:00Z</dcterms:modified>
</cp:coreProperties>
</file>