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21" w:rsidRDefault="000D3321">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0D3321" w:rsidRDefault="000D3321">
      <w:pPr>
        <w:pStyle w:val="ConsPlusNormal"/>
        <w:jc w:val="both"/>
        <w:outlineLvl w:val="0"/>
      </w:pPr>
    </w:p>
    <w:p w:rsidR="000D3321" w:rsidRDefault="000D3321">
      <w:pPr>
        <w:pStyle w:val="ConsPlusNormal"/>
        <w:outlineLvl w:val="0"/>
      </w:pPr>
      <w:r>
        <w:t>Зарегистрировано в Минюсте России 7 мая 2020 г. N 58280</w:t>
      </w:r>
    </w:p>
    <w:p w:rsidR="000D3321" w:rsidRDefault="000D3321">
      <w:pPr>
        <w:pStyle w:val="ConsPlusNormal"/>
        <w:pBdr>
          <w:top w:val="single" w:sz="6" w:space="0" w:color="auto"/>
        </w:pBdr>
        <w:spacing w:before="100" w:after="100"/>
        <w:jc w:val="both"/>
        <w:rPr>
          <w:sz w:val="2"/>
          <w:szCs w:val="2"/>
        </w:rPr>
      </w:pPr>
    </w:p>
    <w:p w:rsidR="000D3321" w:rsidRDefault="000D3321">
      <w:pPr>
        <w:pStyle w:val="ConsPlusNormal"/>
        <w:jc w:val="both"/>
      </w:pPr>
    </w:p>
    <w:p w:rsidR="000D3321" w:rsidRDefault="000D3321">
      <w:pPr>
        <w:pStyle w:val="ConsPlusTitle"/>
        <w:jc w:val="center"/>
      </w:pPr>
      <w:r>
        <w:t>МИНИСТЕРСТВО ФИНАНСОВ РОССИЙСКОЙ ФЕДЕРАЦИИ</w:t>
      </w:r>
    </w:p>
    <w:p w:rsidR="000D3321" w:rsidRDefault="000D3321">
      <w:pPr>
        <w:pStyle w:val="ConsPlusTitle"/>
        <w:jc w:val="center"/>
      </w:pPr>
    </w:p>
    <w:p w:rsidR="000D3321" w:rsidRDefault="000D3321">
      <w:pPr>
        <w:pStyle w:val="ConsPlusTitle"/>
        <w:jc w:val="center"/>
      </w:pPr>
      <w:r>
        <w:t>ФЕДЕРАЛЬНОЕ КАЗНАЧЕЙСТВО</w:t>
      </w:r>
    </w:p>
    <w:p w:rsidR="000D3321" w:rsidRDefault="000D3321">
      <w:pPr>
        <w:pStyle w:val="ConsPlusTitle"/>
        <w:jc w:val="center"/>
      </w:pPr>
    </w:p>
    <w:p w:rsidR="000D3321" w:rsidRDefault="000D3321">
      <w:pPr>
        <w:pStyle w:val="ConsPlusTitle"/>
        <w:jc w:val="center"/>
      </w:pPr>
      <w:r>
        <w:t>ПРИКАЗ</w:t>
      </w:r>
    </w:p>
    <w:p w:rsidR="000D3321" w:rsidRDefault="000D3321">
      <w:pPr>
        <w:pStyle w:val="ConsPlusTitle"/>
        <w:jc w:val="center"/>
      </w:pPr>
      <w:r>
        <w:t>от 1 апреля 2020 г. N 15н</w:t>
      </w:r>
    </w:p>
    <w:p w:rsidR="000D3321" w:rsidRDefault="000D3321">
      <w:pPr>
        <w:pStyle w:val="ConsPlusTitle"/>
        <w:jc w:val="center"/>
      </w:pPr>
    </w:p>
    <w:p w:rsidR="000D3321" w:rsidRDefault="000D3321">
      <w:pPr>
        <w:pStyle w:val="ConsPlusTitle"/>
        <w:jc w:val="center"/>
      </w:pPr>
      <w:r>
        <w:t>О ПОРЯДКЕ ОТКРЫТИЯ КАЗНАЧЕЙСКИХ СЧЕТОВ</w:t>
      </w:r>
    </w:p>
    <w:p w:rsidR="000D3321" w:rsidRDefault="000D3321">
      <w:pPr>
        <w:pStyle w:val="ConsPlusNormal"/>
        <w:jc w:val="both"/>
      </w:pPr>
    </w:p>
    <w:p w:rsidR="000D3321" w:rsidRDefault="000D3321">
      <w:pPr>
        <w:pStyle w:val="ConsPlusNormal"/>
        <w:ind w:firstLine="540"/>
        <w:jc w:val="both"/>
      </w:pPr>
      <w:r>
        <w:t xml:space="preserve">В целях реализации </w:t>
      </w:r>
      <w:hyperlink r:id="rId5"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0D3321" w:rsidRDefault="000D3321">
      <w:pPr>
        <w:pStyle w:val="ConsPlusNormal"/>
        <w:spacing w:before="220"/>
        <w:ind w:firstLine="540"/>
        <w:jc w:val="both"/>
      </w:pPr>
      <w:r>
        <w:t xml:space="preserve">1. Утвердить прилагаемый </w:t>
      </w:r>
      <w:hyperlink w:anchor="P28" w:history="1">
        <w:r>
          <w:rPr>
            <w:color w:val="0000FF"/>
          </w:rPr>
          <w:t>Порядок</w:t>
        </w:r>
      </w:hyperlink>
      <w:r>
        <w:t xml:space="preserve"> открытия казначейских счетов.</w:t>
      </w:r>
    </w:p>
    <w:p w:rsidR="000D3321" w:rsidRDefault="000D3321">
      <w:pPr>
        <w:pStyle w:val="ConsPlusNormal"/>
        <w:spacing w:before="220"/>
        <w:ind w:firstLine="540"/>
        <w:jc w:val="both"/>
      </w:pPr>
      <w:r>
        <w:t>2. Настоящий приказ вступает в силу с 1 января 2021 года.</w:t>
      </w:r>
    </w:p>
    <w:p w:rsidR="000D3321" w:rsidRDefault="000D3321">
      <w:pPr>
        <w:pStyle w:val="ConsPlusNormal"/>
        <w:jc w:val="both"/>
      </w:pPr>
    </w:p>
    <w:p w:rsidR="000D3321" w:rsidRDefault="000D3321">
      <w:pPr>
        <w:pStyle w:val="ConsPlusNormal"/>
        <w:jc w:val="right"/>
      </w:pPr>
      <w:r>
        <w:t>Руководитель</w:t>
      </w:r>
    </w:p>
    <w:p w:rsidR="000D3321" w:rsidRDefault="000D3321">
      <w:pPr>
        <w:pStyle w:val="ConsPlusNormal"/>
        <w:jc w:val="right"/>
      </w:pPr>
      <w:r>
        <w:t>Р.Е.АРТЮХИН</w:t>
      </w: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right"/>
        <w:outlineLvl w:val="0"/>
      </w:pPr>
      <w:r>
        <w:t>Утвержден</w:t>
      </w:r>
    </w:p>
    <w:p w:rsidR="000D3321" w:rsidRDefault="000D3321">
      <w:pPr>
        <w:pStyle w:val="ConsPlusNormal"/>
        <w:jc w:val="right"/>
      </w:pPr>
      <w:r>
        <w:t>приказом Федерального казначейства</w:t>
      </w:r>
    </w:p>
    <w:p w:rsidR="000D3321" w:rsidRDefault="000D3321">
      <w:pPr>
        <w:pStyle w:val="ConsPlusNormal"/>
        <w:jc w:val="right"/>
      </w:pPr>
      <w:r>
        <w:t>от 1 апреля 2020 г. N 15н</w:t>
      </w:r>
    </w:p>
    <w:p w:rsidR="000D3321" w:rsidRDefault="000D3321">
      <w:pPr>
        <w:pStyle w:val="ConsPlusNormal"/>
        <w:jc w:val="both"/>
      </w:pPr>
    </w:p>
    <w:p w:rsidR="000D3321" w:rsidRDefault="000D3321">
      <w:pPr>
        <w:pStyle w:val="ConsPlusTitle"/>
        <w:jc w:val="center"/>
      </w:pPr>
      <w:bookmarkStart w:id="0" w:name="P28"/>
      <w:bookmarkEnd w:id="0"/>
      <w:r>
        <w:t>ПОРЯДОК ОТКРЫТИЯ КАЗНАЧЕЙСКИХ СЧЕТОВ</w:t>
      </w:r>
    </w:p>
    <w:p w:rsidR="000D3321" w:rsidRDefault="000D3321">
      <w:pPr>
        <w:pStyle w:val="ConsPlusNormal"/>
        <w:jc w:val="both"/>
      </w:pPr>
    </w:p>
    <w:p w:rsidR="000D3321" w:rsidRDefault="000D3321">
      <w:pPr>
        <w:pStyle w:val="ConsPlusTitle"/>
        <w:jc w:val="center"/>
        <w:outlineLvl w:val="1"/>
      </w:pPr>
      <w:r>
        <w:t>I. Общие положения</w:t>
      </w:r>
    </w:p>
    <w:p w:rsidR="000D3321" w:rsidRDefault="000D3321">
      <w:pPr>
        <w:pStyle w:val="ConsPlusNormal"/>
        <w:jc w:val="both"/>
      </w:pPr>
    </w:p>
    <w:p w:rsidR="000D3321" w:rsidRDefault="000D3321">
      <w:pPr>
        <w:pStyle w:val="ConsPlusNormal"/>
        <w:ind w:firstLine="540"/>
        <w:jc w:val="both"/>
      </w:pPr>
      <w:r>
        <w:t xml:space="preserve">1. Настоящий Порядок открытия казначейских счетов (далее - Порядок) разработан на основании </w:t>
      </w:r>
      <w:hyperlink r:id="rId6"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0D3321" w:rsidRDefault="000D3321">
      <w:pPr>
        <w:pStyle w:val="ConsPlusNormal"/>
        <w:spacing w:before="220"/>
        <w:ind w:firstLine="540"/>
        <w:jc w:val="both"/>
      </w:pPr>
      <w:bookmarkStart w:id="1" w:name="P33"/>
      <w:bookmarkEnd w:id="1"/>
      <w:r>
        <w:t>2. В территориальных органах Федерального казначейства открываются следующие виды казначейских счетов:</w:t>
      </w:r>
    </w:p>
    <w:p w:rsidR="000D3321" w:rsidRDefault="000D3321">
      <w:pPr>
        <w:pStyle w:val="ConsPlusNormal"/>
        <w:spacing w:before="220"/>
        <w:ind w:firstLine="540"/>
        <w:jc w:val="both"/>
      </w:pPr>
      <w:r>
        <w:t>а) единый счет бюджета;</w:t>
      </w:r>
    </w:p>
    <w:p w:rsidR="000D3321" w:rsidRDefault="000D3321">
      <w:pPr>
        <w:pStyle w:val="ConsPlusNormal"/>
        <w:spacing w:before="220"/>
        <w:ind w:firstLine="540"/>
        <w:jc w:val="both"/>
      </w:pPr>
      <w:r>
        <w:t>б) казначейский счет для осуществления и отражения операций по учету и распределению поступлений;</w:t>
      </w:r>
    </w:p>
    <w:p w:rsidR="000D3321" w:rsidRDefault="000D3321">
      <w:pPr>
        <w:pStyle w:val="ConsPlusNormal"/>
        <w:spacing w:before="22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0D3321" w:rsidRDefault="000D3321">
      <w:pPr>
        <w:pStyle w:val="ConsPlusNormal"/>
        <w:spacing w:before="220"/>
        <w:ind w:firstLine="540"/>
        <w:jc w:val="both"/>
      </w:pPr>
      <w:r>
        <w:t xml:space="preserve">г) казначейский счет для осуществления и отражения операций с денежными средствами </w:t>
      </w:r>
      <w:r>
        <w:lastRenderedPageBreak/>
        <w:t>бюджетных и автономных учреждений;</w:t>
      </w:r>
    </w:p>
    <w:p w:rsidR="000D3321" w:rsidRDefault="000D3321">
      <w:pPr>
        <w:pStyle w:val="ConsPlusNormal"/>
        <w:spacing w:before="220"/>
        <w:ind w:firstLine="540"/>
        <w:jc w:val="both"/>
      </w:pPr>
      <w:r>
        <w:t>д)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sidR="000D3321" w:rsidRDefault="000D3321">
      <w:pPr>
        <w:pStyle w:val="ConsPlusNormal"/>
        <w:spacing w:before="220"/>
        <w:ind w:firstLine="540"/>
        <w:jc w:val="both"/>
      </w:pPr>
      <w:r>
        <w:t>е) казначейский счет для осуществления и отражения операций с денежными средствами Фонда национального благосостояния;</w:t>
      </w:r>
    </w:p>
    <w:p w:rsidR="000D3321" w:rsidRDefault="000D3321">
      <w:pPr>
        <w:pStyle w:val="ConsPlusNormal"/>
        <w:spacing w:before="220"/>
        <w:ind w:firstLine="540"/>
        <w:jc w:val="both"/>
      </w:pPr>
      <w:r>
        <w:t xml:space="preserve">ж) иные казначейские счета для осуществления и отражения операций в случаях, установленных Бюджетным </w:t>
      </w:r>
      <w:hyperlink r:id="rId7"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0D3321" w:rsidRDefault="000D3321">
      <w:pPr>
        <w:pStyle w:val="ConsPlusNormal"/>
        <w:spacing w:before="220"/>
        <w:ind w:firstLine="540"/>
        <w:jc w:val="both"/>
      </w:pPr>
      <w:r>
        <w:t>3. Казначейские счета открываются в целях казначейского обслуживания:</w:t>
      </w:r>
    </w:p>
    <w:p w:rsidR="000D3321" w:rsidRDefault="000D3321">
      <w:pPr>
        <w:pStyle w:val="ConsPlusNormal"/>
        <w:spacing w:before="22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0D3321" w:rsidRDefault="000D3321">
      <w:pPr>
        <w:pStyle w:val="ConsPlusNormal"/>
        <w:spacing w:before="22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0D3321" w:rsidRDefault="000D3321">
      <w:pPr>
        <w:pStyle w:val="ConsPlusNormal"/>
        <w:spacing w:before="22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0D3321" w:rsidRDefault="000D3321">
      <w:pPr>
        <w:pStyle w:val="ConsPlusNormal"/>
        <w:spacing w:before="220"/>
        <w:ind w:firstLine="540"/>
        <w:jc w:val="both"/>
      </w:pPr>
      <w:r>
        <w:t>г) операций со средствами бюджетных и автономных учреждений;</w:t>
      </w:r>
    </w:p>
    <w:p w:rsidR="000D3321" w:rsidRDefault="000D3321">
      <w:pPr>
        <w:pStyle w:val="ConsPlusNormal"/>
        <w:spacing w:before="220"/>
        <w:ind w:firstLine="540"/>
        <w:jc w:val="both"/>
      </w:pPr>
      <w:r>
        <w:t>д) операций со средствами юридических лиц, не являющихся участниками бюджетного процесса, бюджетными и автономными учреждениями;</w:t>
      </w:r>
    </w:p>
    <w:p w:rsidR="000D3321" w:rsidRDefault="000D3321">
      <w:pPr>
        <w:pStyle w:val="ConsPlusNormal"/>
        <w:spacing w:before="220"/>
        <w:ind w:firstLine="540"/>
        <w:jc w:val="both"/>
      </w:pPr>
      <w:r>
        <w:t>е) операций со средствами Фонда национального благосостояния;</w:t>
      </w:r>
    </w:p>
    <w:p w:rsidR="000D3321" w:rsidRDefault="000D3321">
      <w:pPr>
        <w:pStyle w:val="ConsPlusNormal"/>
        <w:spacing w:before="220"/>
        <w:ind w:firstLine="540"/>
        <w:jc w:val="both"/>
      </w:pPr>
      <w:r>
        <w:t xml:space="preserve">ж) операций в случаях, установленных Бюджетным </w:t>
      </w:r>
      <w:hyperlink r:id="rId8"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0D3321" w:rsidRDefault="000D3321">
      <w:pPr>
        <w:pStyle w:val="ConsPlusNormal"/>
        <w:spacing w:before="220"/>
        <w:ind w:firstLine="540"/>
        <w:jc w:val="both"/>
      </w:pPr>
      <w:r>
        <w:t>4. Единый счет бюджета открывается:</w:t>
      </w:r>
    </w:p>
    <w:p w:rsidR="000D3321" w:rsidRDefault="000D3321">
      <w:pPr>
        <w:pStyle w:val="ConsPlusNormal"/>
        <w:spacing w:before="220"/>
        <w:ind w:firstLine="540"/>
        <w:jc w:val="both"/>
      </w:pPr>
      <w:r>
        <w:t>территориальному органу Федерального казначейства - для осуществления и отражения операций по исполнению федерального бюджета;</w:t>
      </w:r>
    </w:p>
    <w:p w:rsidR="000D3321" w:rsidRDefault="000D3321">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0D3321" w:rsidRDefault="000D3321">
      <w:pPr>
        <w:pStyle w:val="ConsPlusNormal"/>
        <w:spacing w:before="22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0D3321" w:rsidRDefault="000D3321">
      <w:pPr>
        <w:pStyle w:val="ConsPlusNormal"/>
        <w:spacing w:before="22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0D3321" w:rsidRDefault="000D3321">
      <w:pPr>
        <w:pStyle w:val="ConsPlusNormal"/>
        <w:spacing w:before="220"/>
        <w:ind w:firstLine="540"/>
        <w:jc w:val="both"/>
      </w:pPr>
      <w:r>
        <w:t xml:space="preserve">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w:t>
      </w:r>
      <w:r>
        <w:lastRenderedPageBreak/>
        <w:t>финансовому органу субъекта Российской Федерации (муниципального образования), органу управления государственным внебюджетным фондом.</w:t>
      </w:r>
    </w:p>
    <w:p w:rsidR="000D3321" w:rsidRDefault="000D3321">
      <w:pPr>
        <w:pStyle w:val="ConsPlusNormal"/>
        <w:spacing w:before="22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0D3321" w:rsidRDefault="000D3321">
      <w:pPr>
        <w:pStyle w:val="ConsPlusNormal"/>
        <w:spacing w:before="220"/>
        <w:ind w:firstLine="540"/>
        <w:jc w:val="both"/>
      </w:pPr>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0D3321" w:rsidRDefault="000D3321">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0D3321" w:rsidRDefault="000D3321">
      <w:pPr>
        <w:pStyle w:val="ConsPlusNormal"/>
        <w:spacing w:before="220"/>
        <w:ind w:firstLine="540"/>
        <w:jc w:val="both"/>
      </w:pPr>
      <w:r>
        <w:t>8.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открывается:</w:t>
      </w:r>
    </w:p>
    <w:p w:rsidR="000D3321" w:rsidRDefault="000D3321">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0D3321" w:rsidRDefault="000D3321">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бюджета субъекта Российской Федерации (местного бюджета).</w:t>
      </w:r>
    </w:p>
    <w:p w:rsidR="000D3321" w:rsidRDefault="000D3321">
      <w:pPr>
        <w:pStyle w:val="ConsPlusNormal"/>
        <w:spacing w:before="22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w:t>
      </w:r>
    </w:p>
    <w:p w:rsidR="000D3321" w:rsidRDefault="000D3321">
      <w:pPr>
        <w:pStyle w:val="ConsPlusNormal"/>
        <w:spacing w:before="22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0D3321" w:rsidRDefault="000D3321">
      <w:pPr>
        <w:pStyle w:val="ConsPlusNormal"/>
        <w:spacing w:before="220"/>
        <w:ind w:firstLine="540"/>
        <w:jc w:val="both"/>
      </w:pPr>
      <w:r>
        <w:t>11. Допускается открытие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0D3321" w:rsidRDefault="000D3321">
      <w:pPr>
        <w:pStyle w:val="ConsPlusNormal"/>
        <w:spacing w:before="22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 и требованиями, установленными законодательством Российской Федерации.</w:t>
      </w:r>
    </w:p>
    <w:p w:rsidR="000D3321" w:rsidRDefault="000D3321">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D3321" w:rsidRDefault="000D3321">
      <w:pPr>
        <w:pStyle w:val="ConsPlusNormal"/>
        <w:spacing w:before="220"/>
        <w:ind w:firstLine="540"/>
        <w:jc w:val="both"/>
      </w:pPr>
      <w:r>
        <w:lastRenderedPageBreak/>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0D3321" w:rsidRDefault="000D3321">
      <w:pPr>
        <w:pStyle w:val="ConsPlusNormal"/>
        <w:spacing w:before="22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0D3321" w:rsidRDefault="000D33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0D3321">
        <w:tc>
          <w:tcPr>
            <w:tcW w:w="680" w:type="dxa"/>
          </w:tcPr>
          <w:p w:rsidR="000D3321" w:rsidRDefault="000D3321">
            <w:pPr>
              <w:pStyle w:val="ConsPlusNormal"/>
              <w:jc w:val="center"/>
            </w:pPr>
            <w:r>
              <w:t>Признак казначейского счета</w:t>
            </w:r>
          </w:p>
        </w:tc>
        <w:tc>
          <w:tcPr>
            <w:tcW w:w="1360" w:type="dxa"/>
            <w:gridSpan w:val="4"/>
          </w:tcPr>
          <w:p w:rsidR="000D3321" w:rsidRDefault="000D3321">
            <w:pPr>
              <w:pStyle w:val="ConsPlusNormal"/>
              <w:jc w:val="center"/>
            </w:pPr>
            <w:r>
              <w:t>Код вида казначейского счета</w:t>
            </w:r>
          </w:p>
        </w:tc>
        <w:tc>
          <w:tcPr>
            <w:tcW w:w="1123" w:type="dxa"/>
            <w:gridSpan w:val="3"/>
          </w:tcPr>
          <w:p w:rsidR="000D3321" w:rsidRDefault="000D3321">
            <w:pPr>
              <w:pStyle w:val="ConsPlusNormal"/>
              <w:jc w:val="center"/>
            </w:pPr>
            <w:r>
              <w:t>Код валюты</w:t>
            </w:r>
          </w:p>
        </w:tc>
        <w:tc>
          <w:tcPr>
            <w:tcW w:w="3702" w:type="dxa"/>
            <w:gridSpan w:val="8"/>
          </w:tcPr>
          <w:p w:rsidR="000D3321" w:rsidRDefault="000D3321">
            <w:pPr>
              <w:pStyle w:val="ConsPlusNormal"/>
              <w:jc w:val="center"/>
            </w:pPr>
            <w:r>
              <w:t>Идентификатор публично-правового образования</w:t>
            </w:r>
          </w:p>
        </w:tc>
        <w:tc>
          <w:tcPr>
            <w:tcW w:w="1128" w:type="dxa"/>
            <w:gridSpan w:val="2"/>
          </w:tcPr>
          <w:p w:rsidR="000D3321" w:rsidRDefault="000D3321">
            <w:pPr>
              <w:pStyle w:val="ConsPlusNormal"/>
              <w:jc w:val="center"/>
            </w:pPr>
            <w:r>
              <w:t>Код территориального органа Федерального казначейства</w:t>
            </w:r>
          </w:p>
        </w:tc>
        <w:tc>
          <w:tcPr>
            <w:tcW w:w="1017" w:type="dxa"/>
            <w:gridSpan w:val="2"/>
          </w:tcPr>
          <w:p w:rsidR="000D3321" w:rsidRDefault="000D3321">
            <w:pPr>
              <w:pStyle w:val="ConsPlusNormal"/>
              <w:jc w:val="center"/>
            </w:pPr>
            <w:r>
              <w:t>Порядковый номер счета</w:t>
            </w:r>
          </w:p>
        </w:tc>
      </w:tr>
      <w:tr w:rsidR="000D3321">
        <w:tc>
          <w:tcPr>
            <w:tcW w:w="680" w:type="dxa"/>
          </w:tcPr>
          <w:p w:rsidR="000D3321" w:rsidRDefault="000D3321">
            <w:pPr>
              <w:pStyle w:val="ConsPlusNormal"/>
              <w:jc w:val="center"/>
            </w:pPr>
            <w:r>
              <w:t>1</w:t>
            </w:r>
          </w:p>
        </w:tc>
        <w:tc>
          <w:tcPr>
            <w:tcW w:w="340" w:type="dxa"/>
          </w:tcPr>
          <w:p w:rsidR="000D3321" w:rsidRDefault="000D3321">
            <w:pPr>
              <w:pStyle w:val="ConsPlusNormal"/>
              <w:jc w:val="center"/>
            </w:pPr>
            <w:r>
              <w:t>2</w:t>
            </w:r>
          </w:p>
        </w:tc>
        <w:tc>
          <w:tcPr>
            <w:tcW w:w="340" w:type="dxa"/>
          </w:tcPr>
          <w:p w:rsidR="000D3321" w:rsidRDefault="000D3321">
            <w:pPr>
              <w:pStyle w:val="ConsPlusNormal"/>
              <w:jc w:val="center"/>
            </w:pPr>
            <w:r>
              <w:t>3</w:t>
            </w:r>
          </w:p>
        </w:tc>
        <w:tc>
          <w:tcPr>
            <w:tcW w:w="340" w:type="dxa"/>
          </w:tcPr>
          <w:p w:rsidR="000D3321" w:rsidRDefault="000D3321">
            <w:pPr>
              <w:pStyle w:val="ConsPlusNormal"/>
              <w:jc w:val="center"/>
            </w:pPr>
            <w:r>
              <w:t>4</w:t>
            </w:r>
          </w:p>
        </w:tc>
        <w:tc>
          <w:tcPr>
            <w:tcW w:w="340" w:type="dxa"/>
          </w:tcPr>
          <w:p w:rsidR="000D3321" w:rsidRDefault="000D3321">
            <w:pPr>
              <w:pStyle w:val="ConsPlusNormal"/>
              <w:jc w:val="center"/>
            </w:pPr>
            <w:r>
              <w:t>5</w:t>
            </w:r>
          </w:p>
        </w:tc>
        <w:tc>
          <w:tcPr>
            <w:tcW w:w="374" w:type="dxa"/>
          </w:tcPr>
          <w:p w:rsidR="000D3321" w:rsidRDefault="000D3321">
            <w:pPr>
              <w:pStyle w:val="ConsPlusNormal"/>
              <w:jc w:val="center"/>
            </w:pPr>
            <w:r>
              <w:t>6</w:t>
            </w:r>
          </w:p>
        </w:tc>
        <w:tc>
          <w:tcPr>
            <w:tcW w:w="370" w:type="dxa"/>
          </w:tcPr>
          <w:p w:rsidR="000D3321" w:rsidRDefault="000D3321">
            <w:pPr>
              <w:pStyle w:val="ConsPlusNormal"/>
              <w:jc w:val="center"/>
            </w:pPr>
            <w:r>
              <w:t>7</w:t>
            </w:r>
          </w:p>
        </w:tc>
        <w:tc>
          <w:tcPr>
            <w:tcW w:w="379" w:type="dxa"/>
          </w:tcPr>
          <w:p w:rsidR="000D3321" w:rsidRDefault="000D3321">
            <w:pPr>
              <w:pStyle w:val="ConsPlusNormal"/>
              <w:jc w:val="center"/>
            </w:pPr>
            <w:r>
              <w:t>8</w:t>
            </w:r>
          </w:p>
        </w:tc>
        <w:tc>
          <w:tcPr>
            <w:tcW w:w="461" w:type="dxa"/>
          </w:tcPr>
          <w:p w:rsidR="000D3321" w:rsidRDefault="000D3321">
            <w:pPr>
              <w:pStyle w:val="ConsPlusNormal"/>
              <w:jc w:val="center"/>
            </w:pPr>
            <w:r>
              <w:t>9</w:t>
            </w:r>
          </w:p>
        </w:tc>
        <w:tc>
          <w:tcPr>
            <w:tcW w:w="461" w:type="dxa"/>
          </w:tcPr>
          <w:p w:rsidR="000D3321" w:rsidRDefault="000D3321">
            <w:pPr>
              <w:pStyle w:val="ConsPlusNormal"/>
              <w:jc w:val="center"/>
            </w:pPr>
            <w:r>
              <w:t>10</w:t>
            </w:r>
          </w:p>
        </w:tc>
        <w:tc>
          <w:tcPr>
            <w:tcW w:w="466" w:type="dxa"/>
          </w:tcPr>
          <w:p w:rsidR="000D3321" w:rsidRDefault="000D3321">
            <w:pPr>
              <w:pStyle w:val="ConsPlusNormal"/>
              <w:jc w:val="center"/>
            </w:pPr>
            <w:r>
              <w:t>11</w:t>
            </w:r>
          </w:p>
        </w:tc>
        <w:tc>
          <w:tcPr>
            <w:tcW w:w="461" w:type="dxa"/>
          </w:tcPr>
          <w:p w:rsidR="000D3321" w:rsidRDefault="000D3321">
            <w:pPr>
              <w:pStyle w:val="ConsPlusNormal"/>
              <w:jc w:val="center"/>
            </w:pPr>
            <w:r>
              <w:t>12</w:t>
            </w:r>
          </w:p>
        </w:tc>
        <w:tc>
          <w:tcPr>
            <w:tcW w:w="466" w:type="dxa"/>
          </w:tcPr>
          <w:p w:rsidR="000D3321" w:rsidRDefault="000D3321">
            <w:pPr>
              <w:pStyle w:val="ConsPlusNormal"/>
              <w:jc w:val="center"/>
            </w:pPr>
            <w:r>
              <w:t>13</w:t>
            </w:r>
          </w:p>
        </w:tc>
        <w:tc>
          <w:tcPr>
            <w:tcW w:w="461" w:type="dxa"/>
          </w:tcPr>
          <w:p w:rsidR="000D3321" w:rsidRDefault="000D3321">
            <w:pPr>
              <w:pStyle w:val="ConsPlusNormal"/>
              <w:jc w:val="center"/>
            </w:pPr>
            <w:r>
              <w:t>14</w:t>
            </w:r>
          </w:p>
        </w:tc>
        <w:tc>
          <w:tcPr>
            <w:tcW w:w="456" w:type="dxa"/>
          </w:tcPr>
          <w:p w:rsidR="000D3321" w:rsidRDefault="000D3321">
            <w:pPr>
              <w:pStyle w:val="ConsPlusNormal"/>
              <w:jc w:val="center"/>
            </w:pPr>
            <w:r>
              <w:t>15</w:t>
            </w:r>
          </w:p>
        </w:tc>
        <w:tc>
          <w:tcPr>
            <w:tcW w:w="470" w:type="dxa"/>
          </w:tcPr>
          <w:p w:rsidR="000D3321" w:rsidRDefault="000D3321">
            <w:pPr>
              <w:pStyle w:val="ConsPlusNormal"/>
              <w:jc w:val="center"/>
            </w:pPr>
            <w:r>
              <w:t>16</w:t>
            </w:r>
          </w:p>
        </w:tc>
        <w:tc>
          <w:tcPr>
            <w:tcW w:w="566" w:type="dxa"/>
          </w:tcPr>
          <w:p w:rsidR="000D3321" w:rsidRDefault="000D3321">
            <w:pPr>
              <w:pStyle w:val="ConsPlusNormal"/>
              <w:jc w:val="center"/>
            </w:pPr>
            <w:r>
              <w:t>17</w:t>
            </w:r>
          </w:p>
        </w:tc>
        <w:tc>
          <w:tcPr>
            <w:tcW w:w="562" w:type="dxa"/>
          </w:tcPr>
          <w:p w:rsidR="000D3321" w:rsidRDefault="000D3321">
            <w:pPr>
              <w:pStyle w:val="ConsPlusNormal"/>
              <w:jc w:val="center"/>
            </w:pPr>
            <w:r>
              <w:t>18</w:t>
            </w:r>
          </w:p>
        </w:tc>
        <w:tc>
          <w:tcPr>
            <w:tcW w:w="523" w:type="dxa"/>
          </w:tcPr>
          <w:p w:rsidR="000D3321" w:rsidRDefault="000D3321">
            <w:pPr>
              <w:pStyle w:val="ConsPlusNormal"/>
              <w:jc w:val="center"/>
            </w:pPr>
            <w:r>
              <w:t>19</w:t>
            </w:r>
          </w:p>
        </w:tc>
        <w:tc>
          <w:tcPr>
            <w:tcW w:w="494" w:type="dxa"/>
          </w:tcPr>
          <w:p w:rsidR="000D3321" w:rsidRDefault="000D3321">
            <w:pPr>
              <w:pStyle w:val="ConsPlusNormal"/>
              <w:jc w:val="center"/>
            </w:pPr>
            <w:r>
              <w:t>20</w:t>
            </w:r>
          </w:p>
        </w:tc>
      </w:tr>
      <w:tr w:rsidR="000D3321">
        <w:tc>
          <w:tcPr>
            <w:tcW w:w="680" w:type="dxa"/>
          </w:tcPr>
          <w:p w:rsidR="000D3321" w:rsidRDefault="000D3321">
            <w:pPr>
              <w:pStyle w:val="ConsPlusNormal"/>
            </w:pPr>
          </w:p>
        </w:tc>
        <w:tc>
          <w:tcPr>
            <w:tcW w:w="340" w:type="dxa"/>
          </w:tcPr>
          <w:p w:rsidR="000D3321" w:rsidRDefault="000D3321">
            <w:pPr>
              <w:pStyle w:val="ConsPlusNormal"/>
            </w:pPr>
          </w:p>
        </w:tc>
        <w:tc>
          <w:tcPr>
            <w:tcW w:w="340" w:type="dxa"/>
          </w:tcPr>
          <w:p w:rsidR="000D3321" w:rsidRDefault="000D3321">
            <w:pPr>
              <w:pStyle w:val="ConsPlusNormal"/>
            </w:pPr>
          </w:p>
        </w:tc>
        <w:tc>
          <w:tcPr>
            <w:tcW w:w="340" w:type="dxa"/>
          </w:tcPr>
          <w:p w:rsidR="000D3321" w:rsidRDefault="000D3321">
            <w:pPr>
              <w:pStyle w:val="ConsPlusNormal"/>
            </w:pPr>
          </w:p>
        </w:tc>
        <w:tc>
          <w:tcPr>
            <w:tcW w:w="340" w:type="dxa"/>
          </w:tcPr>
          <w:p w:rsidR="000D3321" w:rsidRDefault="000D3321">
            <w:pPr>
              <w:pStyle w:val="ConsPlusNormal"/>
            </w:pPr>
          </w:p>
        </w:tc>
        <w:tc>
          <w:tcPr>
            <w:tcW w:w="374" w:type="dxa"/>
          </w:tcPr>
          <w:p w:rsidR="000D3321" w:rsidRDefault="000D3321">
            <w:pPr>
              <w:pStyle w:val="ConsPlusNormal"/>
            </w:pPr>
          </w:p>
        </w:tc>
        <w:tc>
          <w:tcPr>
            <w:tcW w:w="370" w:type="dxa"/>
          </w:tcPr>
          <w:p w:rsidR="000D3321" w:rsidRDefault="000D3321">
            <w:pPr>
              <w:pStyle w:val="ConsPlusNormal"/>
            </w:pPr>
          </w:p>
        </w:tc>
        <w:tc>
          <w:tcPr>
            <w:tcW w:w="379" w:type="dxa"/>
          </w:tcPr>
          <w:p w:rsidR="000D3321" w:rsidRDefault="000D3321">
            <w:pPr>
              <w:pStyle w:val="ConsPlusNormal"/>
            </w:pPr>
          </w:p>
        </w:tc>
        <w:tc>
          <w:tcPr>
            <w:tcW w:w="461" w:type="dxa"/>
          </w:tcPr>
          <w:p w:rsidR="000D3321" w:rsidRDefault="000D3321">
            <w:pPr>
              <w:pStyle w:val="ConsPlusNormal"/>
            </w:pPr>
          </w:p>
        </w:tc>
        <w:tc>
          <w:tcPr>
            <w:tcW w:w="461" w:type="dxa"/>
          </w:tcPr>
          <w:p w:rsidR="000D3321" w:rsidRDefault="000D3321">
            <w:pPr>
              <w:pStyle w:val="ConsPlusNormal"/>
            </w:pPr>
          </w:p>
        </w:tc>
        <w:tc>
          <w:tcPr>
            <w:tcW w:w="466" w:type="dxa"/>
          </w:tcPr>
          <w:p w:rsidR="000D3321" w:rsidRDefault="000D3321">
            <w:pPr>
              <w:pStyle w:val="ConsPlusNormal"/>
            </w:pPr>
          </w:p>
        </w:tc>
        <w:tc>
          <w:tcPr>
            <w:tcW w:w="461" w:type="dxa"/>
          </w:tcPr>
          <w:p w:rsidR="000D3321" w:rsidRDefault="000D3321">
            <w:pPr>
              <w:pStyle w:val="ConsPlusNormal"/>
            </w:pPr>
          </w:p>
        </w:tc>
        <w:tc>
          <w:tcPr>
            <w:tcW w:w="466" w:type="dxa"/>
          </w:tcPr>
          <w:p w:rsidR="000D3321" w:rsidRDefault="000D3321">
            <w:pPr>
              <w:pStyle w:val="ConsPlusNormal"/>
            </w:pPr>
          </w:p>
        </w:tc>
        <w:tc>
          <w:tcPr>
            <w:tcW w:w="461" w:type="dxa"/>
          </w:tcPr>
          <w:p w:rsidR="000D3321" w:rsidRDefault="000D3321">
            <w:pPr>
              <w:pStyle w:val="ConsPlusNormal"/>
            </w:pPr>
          </w:p>
        </w:tc>
        <w:tc>
          <w:tcPr>
            <w:tcW w:w="456" w:type="dxa"/>
          </w:tcPr>
          <w:p w:rsidR="000D3321" w:rsidRDefault="000D3321">
            <w:pPr>
              <w:pStyle w:val="ConsPlusNormal"/>
            </w:pPr>
          </w:p>
        </w:tc>
        <w:tc>
          <w:tcPr>
            <w:tcW w:w="470" w:type="dxa"/>
          </w:tcPr>
          <w:p w:rsidR="000D3321" w:rsidRDefault="000D3321">
            <w:pPr>
              <w:pStyle w:val="ConsPlusNormal"/>
            </w:pPr>
          </w:p>
        </w:tc>
        <w:tc>
          <w:tcPr>
            <w:tcW w:w="566" w:type="dxa"/>
          </w:tcPr>
          <w:p w:rsidR="000D3321" w:rsidRDefault="000D3321">
            <w:pPr>
              <w:pStyle w:val="ConsPlusNormal"/>
            </w:pPr>
          </w:p>
        </w:tc>
        <w:tc>
          <w:tcPr>
            <w:tcW w:w="562" w:type="dxa"/>
          </w:tcPr>
          <w:p w:rsidR="000D3321" w:rsidRDefault="000D3321">
            <w:pPr>
              <w:pStyle w:val="ConsPlusNormal"/>
            </w:pPr>
          </w:p>
        </w:tc>
        <w:tc>
          <w:tcPr>
            <w:tcW w:w="523" w:type="dxa"/>
          </w:tcPr>
          <w:p w:rsidR="000D3321" w:rsidRDefault="000D3321">
            <w:pPr>
              <w:pStyle w:val="ConsPlusNormal"/>
            </w:pPr>
          </w:p>
        </w:tc>
        <w:tc>
          <w:tcPr>
            <w:tcW w:w="494" w:type="dxa"/>
          </w:tcPr>
          <w:p w:rsidR="000D3321" w:rsidRDefault="000D3321">
            <w:pPr>
              <w:pStyle w:val="ConsPlusNormal"/>
            </w:pPr>
          </w:p>
        </w:tc>
      </w:tr>
    </w:tbl>
    <w:p w:rsidR="000D3321" w:rsidRDefault="000D3321">
      <w:pPr>
        <w:pStyle w:val="ConsPlusNormal"/>
        <w:jc w:val="both"/>
      </w:pPr>
    </w:p>
    <w:p w:rsidR="000D3321" w:rsidRDefault="000D3321">
      <w:pPr>
        <w:pStyle w:val="ConsPlusNormal"/>
        <w:ind w:firstLine="540"/>
        <w:jc w:val="both"/>
      </w:pPr>
      <w:r>
        <w:t>14.1. Признак казначейского счета принимает значение "0".</w:t>
      </w:r>
    </w:p>
    <w:p w:rsidR="000D3321" w:rsidRDefault="000D3321">
      <w:pPr>
        <w:pStyle w:val="ConsPlusNormal"/>
        <w:spacing w:before="220"/>
        <w:ind w:firstLine="540"/>
        <w:jc w:val="both"/>
      </w:pPr>
      <w:r>
        <w:t>14.2. Код вида казначейского счета в номере казначейского счета принимает следующие значения:</w:t>
      </w:r>
    </w:p>
    <w:p w:rsidR="000D3321" w:rsidRDefault="000D3321">
      <w:pPr>
        <w:pStyle w:val="ConsPlusNormal"/>
        <w:spacing w:before="22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0D3321" w:rsidRDefault="000D3321">
      <w:pPr>
        <w:pStyle w:val="ConsPlusNormal"/>
        <w:spacing w:before="220"/>
        <w:ind w:firstLine="540"/>
        <w:jc w:val="both"/>
      </w:pPr>
      <w:r>
        <w:t>3211 - средства федерального бюджета;</w:t>
      </w:r>
    </w:p>
    <w:p w:rsidR="000D3321" w:rsidRDefault="000D3321">
      <w:pPr>
        <w:pStyle w:val="ConsPlusNormal"/>
        <w:spacing w:before="220"/>
        <w:ind w:firstLine="540"/>
        <w:jc w:val="both"/>
      </w:pPr>
      <w:r>
        <w:t>3212 - средства, поступающие во временное распоряжение получателей средств федерального бюджета;</w:t>
      </w:r>
    </w:p>
    <w:p w:rsidR="000D3321" w:rsidRDefault="000D3321">
      <w:pPr>
        <w:pStyle w:val="ConsPlusNormal"/>
        <w:spacing w:before="220"/>
        <w:ind w:firstLine="540"/>
        <w:jc w:val="both"/>
      </w:pPr>
      <w:r>
        <w:t>3214 - средства федеральных бюджетных и автономных учреждений;</w:t>
      </w:r>
    </w:p>
    <w:p w:rsidR="000D3321" w:rsidRDefault="000D3321">
      <w:pPr>
        <w:pStyle w:val="ConsPlusNormal"/>
        <w:spacing w:before="220"/>
        <w:ind w:firstLine="540"/>
        <w:jc w:val="both"/>
      </w:pPr>
      <w:r>
        <w:t>3215 -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0D3321" w:rsidRDefault="000D3321">
      <w:pPr>
        <w:pStyle w:val="ConsPlusNormal"/>
        <w:spacing w:before="220"/>
        <w:ind w:firstLine="540"/>
        <w:jc w:val="both"/>
      </w:pPr>
      <w:r>
        <w:t>3217 - средства Фонда национального благосостояния;</w:t>
      </w:r>
    </w:p>
    <w:p w:rsidR="000D3321" w:rsidRDefault="000D3321">
      <w:pPr>
        <w:pStyle w:val="ConsPlusNormal"/>
        <w:spacing w:before="220"/>
        <w:ind w:firstLine="540"/>
        <w:jc w:val="both"/>
      </w:pPr>
      <w:r>
        <w:t>3221 - средства бюджетов субъектов Российской Федерации;</w:t>
      </w:r>
    </w:p>
    <w:p w:rsidR="000D3321" w:rsidRDefault="000D3321">
      <w:pPr>
        <w:pStyle w:val="ConsPlusNormal"/>
        <w:spacing w:before="220"/>
        <w:ind w:firstLine="540"/>
        <w:jc w:val="both"/>
      </w:pPr>
      <w:r>
        <w:t>3222 - средства, поступающие во временное распоряжение получателей средств бюджетов субъектов Российской Федерации;</w:t>
      </w:r>
    </w:p>
    <w:p w:rsidR="000D3321" w:rsidRDefault="000D3321">
      <w:pPr>
        <w:pStyle w:val="ConsPlusNormal"/>
        <w:spacing w:before="220"/>
        <w:ind w:firstLine="540"/>
        <w:jc w:val="both"/>
      </w:pPr>
      <w:r>
        <w:t>3224 - средства бюджетных и автономных учреждений субъектов Российской Федерации;</w:t>
      </w:r>
    </w:p>
    <w:p w:rsidR="000D3321" w:rsidRDefault="000D3321">
      <w:pPr>
        <w:pStyle w:val="ConsPlusNormal"/>
        <w:spacing w:before="220"/>
        <w:ind w:firstLine="540"/>
        <w:jc w:val="both"/>
      </w:pPr>
      <w:r>
        <w:t>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p w:rsidR="000D3321" w:rsidRDefault="000D3321">
      <w:pPr>
        <w:pStyle w:val="ConsPlusNormal"/>
        <w:spacing w:before="220"/>
        <w:ind w:firstLine="540"/>
        <w:jc w:val="both"/>
      </w:pPr>
      <w:r>
        <w:t>3231 - средства местных бюджетов;</w:t>
      </w:r>
    </w:p>
    <w:p w:rsidR="000D3321" w:rsidRDefault="000D3321">
      <w:pPr>
        <w:pStyle w:val="ConsPlusNormal"/>
        <w:spacing w:before="220"/>
        <w:ind w:firstLine="540"/>
        <w:jc w:val="both"/>
      </w:pPr>
      <w:r>
        <w:t xml:space="preserve">3232 - средства, поступающие во временное распоряжение получателей средств местных </w:t>
      </w:r>
      <w:r>
        <w:lastRenderedPageBreak/>
        <w:t>бюджетов;</w:t>
      </w:r>
    </w:p>
    <w:p w:rsidR="000D3321" w:rsidRDefault="000D3321">
      <w:pPr>
        <w:pStyle w:val="ConsPlusNormal"/>
        <w:spacing w:before="220"/>
        <w:ind w:firstLine="540"/>
        <w:jc w:val="both"/>
      </w:pPr>
      <w:r>
        <w:t>3234 - средства муниципальных бюджетных и автономных учреждений;</w:t>
      </w:r>
    </w:p>
    <w:p w:rsidR="000D3321" w:rsidRDefault="000D3321">
      <w:pPr>
        <w:pStyle w:val="ConsPlusNormal"/>
        <w:spacing w:before="220"/>
        <w:ind w:firstLine="540"/>
        <w:jc w:val="both"/>
      </w:pPr>
      <w:r>
        <w:t>3235 -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p w:rsidR="000D3321" w:rsidRDefault="000D3321">
      <w:pPr>
        <w:pStyle w:val="ConsPlusNormal"/>
        <w:spacing w:before="220"/>
        <w:ind w:firstLine="540"/>
        <w:jc w:val="both"/>
      </w:pPr>
      <w:r>
        <w:t>3241 - средства бюджета Пенсионного фонда Российской Федерации;</w:t>
      </w:r>
    </w:p>
    <w:p w:rsidR="000D3321" w:rsidRDefault="000D3321">
      <w:pPr>
        <w:pStyle w:val="ConsPlusNormal"/>
        <w:spacing w:before="220"/>
        <w:ind w:firstLine="540"/>
        <w:jc w:val="both"/>
      </w:pPr>
      <w:r>
        <w:t>3242 - средства, поступающие во временное распоряжение получателей средств бюджета Пенсионного фонда Российской Федерации;</w:t>
      </w:r>
    </w:p>
    <w:p w:rsidR="000D3321" w:rsidRDefault="000D3321">
      <w:pPr>
        <w:pStyle w:val="ConsPlusNormal"/>
        <w:spacing w:before="220"/>
        <w:ind w:firstLine="540"/>
        <w:jc w:val="both"/>
      </w:pPr>
      <w:r>
        <w:t>3251 - средства бюджета Фонда социального страхования Российской Федерации;</w:t>
      </w:r>
    </w:p>
    <w:p w:rsidR="000D3321" w:rsidRDefault="000D3321">
      <w:pPr>
        <w:pStyle w:val="ConsPlusNormal"/>
        <w:spacing w:before="220"/>
        <w:ind w:firstLine="540"/>
        <w:jc w:val="both"/>
      </w:pPr>
      <w:r>
        <w:t>3252 - средства, поступающие во временное распоряжение получателей средств бюджета Фонда социального страхования Российской Федерации;</w:t>
      </w:r>
    </w:p>
    <w:p w:rsidR="000D3321" w:rsidRDefault="000D3321">
      <w:pPr>
        <w:pStyle w:val="ConsPlusNormal"/>
        <w:spacing w:before="220"/>
        <w:ind w:firstLine="540"/>
        <w:jc w:val="both"/>
      </w:pPr>
      <w:r>
        <w:t>3254 - средства бюджетных учреждений Фонда социального страхования Российской Федерации;</w:t>
      </w:r>
    </w:p>
    <w:p w:rsidR="000D3321" w:rsidRDefault="000D3321">
      <w:pPr>
        <w:pStyle w:val="ConsPlusNormal"/>
        <w:spacing w:before="220"/>
        <w:ind w:firstLine="540"/>
        <w:jc w:val="both"/>
      </w:pPr>
      <w:r>
        <w:t>3261 - средства бюджета Федерального фонда обязательного медицинского страхования;</w:t>
      </w:r>
    </w:p>
    <w:p w:rsidR="000D3321" w:rsidRDefault="000D3321">
      <w:pPr>
        <w:pStyle w:val="ConsPlusNormal"/>
        <w:spacing w:before="22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0D3321" w:rsidRDefault="000D3321">
      <w:pPr>
        <w:pStyle w:val="ConsPlusNormal"/>
        <w:spacing w:before="220"/>
        <w:ind w:firstLine="540"/>
        <w:jc w:val="both"/>
      </w:pPr>
      <w:r>
        <w:t>3271 - средства бюджетов территориальных фондов обязательного медицинского страхования;</w:t>
      </w:r>
    </w:p>
    <w:p w:rsidR="000D3321" w:rsidRDefault="000D3321">
      <w:pPr>
        <w:pStyle w:val="ConsPlusNormal"/>
        <w:spacing w:before="22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0D3321" w:rsidRDefault="000D3321">
      <w:pPr>
        <w:pStyle w:val="ConsPlusNormal"/>
        <w:spacing w:before="220"/>
        <w:ind w:firstLine="540"/>
        <w:jc w:val="both"/>
      </w:pPr>
      <w:r>
        <w:t>3420 - средства единого казначейского счета до выяснения принадлежности;</w:t>
      </w:r>
    </w:p>
    <w:p w:rsidR="000D3321" w:rsidRDefault="000D3321">
      <w:pPr>
        <w:pStyle w:val="ConsPlusNormal"/>
        <w:spacing w:before="220"/>
        <w:ind w:firstLine="540"/>
        <w:jc w:val="both"/>
      </w:pPr>
      <w:r>
        <w:t>4100 - финансовый результат по операциям по управлению остатками средств на едином казначейском счете.</w:t>
      </w:r>
    </w:p>
    <w:p w:rsidR="000D3321" w:rsidRDefault="000D3321">
      <w:pPr>
        <w:pStyle w:val="ConsPlusNormal"/>
        <w:spacing w:before="220"/>
        <w:ind w:firstLine="540"/>
        <w:jc w:val="both"/>
      </w:pPr>
      <w:r>
        <w:t xml:space="preserve">14.3. Код валюты в номере казначейского счета присваивается в соответствии с Общероссийским </w:t>
      </w:r>
      <w:hyperlink r:id="rId9" w:history="1">
        <w:r>
          <w:rPr>
            <w:color w:val="0000FF"/>
          </w:rPr>
          <w:t>классификатором</w:t>
        </w:r>
      </w:hyperlink>
      <w:r>
        <w:t xml:space="preserve"> валют.</w:t>
      </w:r>
    </w:p>
    <w:p w:rsidR="000D3321" w:rsidRDefault="000D3321">
      <w:pPr>
        <w:pStyle w:val="ConsPlusNormal"/>
        <w:spacing w:before="22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10" w:history="1">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0D3321" w:rsidRDefault="000D3321">
      <w:pPr>
        <w:pStyle w:val="ConsPlusNormal"/>
        <w:spacing w:before="220"/>
        <w:ind w:firstLine="540"/>
        <w:jc w:val="both"/>
      </w:pPr>
      <w:r>
        <w:t xml:space="preserve">федеральному бюджету соответствует код </w:t>
      </w:r>
      <w:hyperlink r:id="rId11" w:history="1">
        <w:r>
          <w:rPr>
            <w:color w:val="0000FF"/>
          </w:rPr>
          <w:t>ОКТМО</w:t>
        </w:r>
      </w:hyperlink>
      <w:r>
        <w:t xml:space="preserve"> "00 000 001";</w:t>
      </w:r>
    </w:p>
    <w:p w:rsidR="000D3321" w:rsidRDefault="000D3321">
      <w:pPr>
        <w:pStyle w:val="ConsPlusNormal"/>
        <w:spacing w:before="220"/>
        <w:ind w:firstLine="540"/>
        <w:jc w:val="both"/>
      </w:pPr>
      <w:r>
        <w:t xml:space="preserve">бюджету Пенсионного фонда Российской Федерации соответствует код </w:t>
      </w:r>
      <w:hyperlink r:id="rId12" w:history="1">
        <w:r>
          <w:rPr>
            <w:color w:val="0000FF"/>
          </w:rPr>
          <w:t>ОКТМО</w:t>
        </w:r>
      </w:hyperlink>
      <w:r>
        <w:t xml:space="preserve"> "00 000 006";</w:t>
      </w:r>
    </w:p>
    <w:p w:rsidR="000D3321" w:rsidRDefault="000D3321">
      <w:pPr>
        <w:pStyle w:val="ConsPlusNormal"/>
        <w:spacing w:before="220"/>
        <w:ind w:firstLine="540"/>
        <w:jc w:val="both"/>
      </w:pPr>
      <w:r>
        <w:t xml:space="preserve">бюджету Фонда социального страхования соответствует код </w:t>
      </w:r>
      <w:hyperlink r:id="rId13" w:history="1">
        <w:r>
          <w:rPr>
            <w:color w:val="0000FF"/>
          </w:rPr>
          <w:t>ОКТМО</w:t>
        </w:r>
      </w:hyperlink>
      <w:r>
        <w:t xml:space="preserve"> "00 000 007";</w:t>
      </w:r>
    </w:p>
    <w:p w:rsidR="000D3321" w:rsidRDefault="000D3321">
      <w:pPr>
        <w:pStyle w:val="ConsPlusNormal"/>
        <w:spacing w:before="220"/>
        <w:ind w:firstLine="540"/>
        <w:jc w:val="both"/>
      </w:pPr>
      <w:r>
        <w:t xml:space="preserve">бюджету Фонда обязательного медицинского страхования соответствует код </w:t>
      </w:r>
      <w:hyperlink r:id="rId14" w:history="1">
        <w:r>
          <w:rPr>
            <w:color w:val="0000FF"/>
          </w:rPr>
          <w:t>ОКТМО</w:t>
        </w:r>
      </w:hyperlink>
      <w:r>
        <w:t xml:space="preserve"> "00 000 008";</w:t>
      </w:r>
    </w:p>
    <w:p w:rsidR="000D3321" w:rsidRDefault="000D3321">
      <w:pPr>
        <w:pStyle w:val="ConsPlusNormal"/>
        <w:spacing w:before="220"/>
        <w:ind w:firstLine="540"/>
        <w:jc w:val="both"/>
      </w:pPr>
      <w:r>
        <w:t xml:space="preserve">бюджету субъекта Российской Федерации соответствует код </w:t>
      </w:r>
      <w:hyperlink r:id="rId15" w:history="1">
        <w:r>
          <w:rPr>
            <w:color w:val="0000FF"/>
          </w:rPr>
          <w:t>ОКТМО</w:t>
        </w:r>
      </w:hyperlink>
      <w:r>
        <w:t>,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X00 000), отражающий принадлежность к субъекту Российской Федерации;</w:t>
      </w:r>
    </w:p>
    <w:p w:rsidR="000D3321" w:rsidRDefault="000D3321">
      <w:pPr>
        <w:pStyle w:val="ConsPlusNormal"/>
        <w:spacing w:before="220"/>
        <w:ind w:firstLine="540"/>
        <w:jc w:val="both"/>
      </w:pPr>
      <w:r>
        <w:lastRenderedPageBreak/>
        <w:t xml:space="preserve">бюджету территориального фонда обязательного медицинского страхования соответствует код </w:t>
      </w:r>
      <w:hyperlink r:id="rId16" w:history="1">
        <w:r>
          <w:rPr>
            <w:color w:val="0000FF"/>
          </w:rPr>
          <w:t>ОКТМО</w:t>
        </w:r>
      </w:hyperlink>
      <w:r>
        <w:t xml:space="preserve"> - "XX 000 009" ("XX X00 009"), где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0D3321" w:rsidRDefault="000D3321">
      <w:pPr>
        <w:pStyle w:val="ConsPlusNormal"/>
        <w:spacing w:before="22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0D3321" w:rsidRDefault="000D3321">
      <w:pPr>
        <w:pStyle w:val="ConsPlusNormal"/>
        <w:spacing w:before="220"/>
        <w:ind w:firstLine="540"/>
        <w:jc w:val="both"/>
      </w:pPr>
      <w:r>
        <w:t>14.6. Порядковый номер счета используется при открытии нескольких казначейских счетов одного вида.</w:t>
      </w:r>
    </w:p>
    <w:p w:rsidR="000D3321" w:rsidRDefault="000D3321">
      <w:pPr>
        <w:pStyle w:val="ConsPlusNormal"/>
        <w:jc w:val="both"/>
      </w:pPr>
    </w:p>
    <w:p w:rsidR="000D3321" w:rsidRDefault="000D3321">
      <w:pPr>
        <w:pStyle w:val="ConsPlusTitle"/>
        <w:jc w:val="center"/>
        <w:outlineLvl w:val="1"/>
      </w:pPr>
      <w:r>
        <w:t>II. Открытие казначейских счетов</w:t>
      </w:r>
    </w:p>
    <w:p w:rsidR="000D3321" w:rsidRDefault="000D3321">
      <w:pPr>
        <w:pStyle w:val="ConsPlusNormal"/>
        <w:jc w:val="both"/>
      </w:pPr>
    </w:p>
    <w:p w:rsidR="000D3321" w:rsidRDefault="000D3321">
      <w:pPr>
        <w:pStyle w:val="ConsPlusNormal"/>
        <w:ind w:firstLine="540"/>
        <w:jc w:val="both"/>
      </w:pPr>
      <w:bookmarkStart w:id="2" w:name="P156"/>
      <w:bookmarkEnd w:id="2"/>
      <w:r>
        <w:t>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w:t>
      </w:r>
    </w:p>
    <w:p w:rsidR="000D3321" w:rsidRDefault="000D3321">
      <w:pPr>
        <w:pStyle w:val="ConsPlusNormal"/>
        <w:spacing w:before="220"/>
        <w:ind w:firstLine="540"/>
        <w:jc w:val="both"/>
      </w:pPr>
      <w:r>
        <w:t xml:space="preserve">а) Заявление на открытие казначейского счета, содержащее реквизиты согласно </w:t>
      </w:r>
      <w:hyperlink w:anchor="P232" w:history="1">
        <w:r>
          <w:rPr>
            <w:color w:val="0000FF"/>
          </w:rPr>
          <w:t>приложению N 1</w:t>
        </w:r>
      </w:hyperlink>
      <w:r>
        <w:t xml:space="preserve"> к настоящему Порядку;</w:t>
      </w:r>
    </w:p>
    <w:p w:rsidR="000D3321" w:rsidRDefault="000D3321">
      <w:pPr>
        <w:pStyle w:val="ConsPlusNormal"/>
        <w:spacing w:before="220"/>
        <w:ind w:firstLine="540"/>
        <w:jc w:val="both"/>
      </w:pPr>
      <w:r>
        <w:t xml:space="preserve">б) Карточку образцов подписей к казначейским счетам по форме согласно </w:t>
      </w:r>
      <w:hyperlink w:anchor="P264" w:history="1">
        <w:r>
          <w:rPr>
            <w:color w:val="0000FF"/>
          </w:rPr>
          <w:t>приложению N 2</w:t>
        </w:r>
      </w:hyperlink>
      <w:r>
        <w:t xml:space="preserve"> к настоящему Порядку (далее - Карточка образцов подписей).</w:t>
      </w:r>
    </w:p>
    <w:p w:rsidR="000D3321" w:rsidRDefault="000D3321">
      <w:pPr>
        <w:pStyle w:val="ConsPlusNormal"/>
        <w:spacing w:before="220"/>
        <w:ind w:firstLine="540"/>
        <w:jc w:val="both"/>
      </w:pPr>
      <w:r>
        <w:t>Документы, представленные в соответствии с настоящим Порядком в территориальный орган Федерального казначейства, для открытия казначейского счета, формируются в дело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3321" w:rsidRDefault="000D3321">
      <w:pPr>
        <w:pStyle w:val="ConsPlusNormal"/>
        <w:spacing w:before="220"/>
        <w:ind w:firstLine="540"/>
        <w:jc w:val="both"/>
      </w:pPr>
      <w:r>
        <w:t>По всем казначейским счетам, открытым в территориальном органе Федерального казначейства, оформляется единое дело соответственно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3321" w:rsidRDefault="000D3321">
      <w:pPr>
        <w:pStyle w:val="ConsPlusNormal"/>
        <w:spacing w:before="220"/>
        <w:ind w:firstLine="540"/>
        <w:jc w:val="both"/>
      </w:pPr>
      <w:bookmarkStart w:id="3" w:name="P161"/>
      <w:bookmarkEnd w:id="3"/>
      <w:r>
        <w:t xml:space="preserve">16. Оформление </w:t>
      </w:r>
      <w:hyperlink w:anchor="P264" w:history="1">
        <w:r>
          <w:rPr>
            <w:color w:val="0000FF"/>
          </w:rPr>
          <w:t>Карточки</w:t>
        </w:r>
      </w:hyperlink>
      <w:r>
        <w:t xml:space="preserve"> образцов подписей осуществляется следующим образом.</w:t>
      </w:r>
    </w:p>
    <w:p w:rsidR="000D3321" w:rsidRDefault="000D3321">
      <w:pPr>
        <w:pStyle w:val="ConsPlusNormal"/>
        <w:spacing w:before="220"/>
        <w:ind w:firstLine="540"/>
        <w:jc w:val="both"/>
      </w:pPr>
      <w:r>
        <w:t xml:space="preserve">В </w:t>
      </w:r>
      <w:hyperlink w:anchor="P264" w:history="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264" w:history="1">
        <w:r>
          <w:rPr>
            <w:color w:val="0000FF"/>
          </w:rPr>
          <w:t>наименовании</w:t>
        </w:r>
      </w:hyperlink>
      <w:r>
        <w:t xml:space="preserve"> формы Карточки образцов подписей проставляет </w:t>
      </w:r>
      <w:proofErr w:type="gramStart"/>
      <w:r>
        <w:t>номера</w:t>
      </w:r>
      <w:proofErr w:type="gramEnd"/>
      <w:r>
        <w:t xml:space="preserve">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0D3321" w:rsidRDefault="000D3321">
      <w:pPr>
        <w:pStyle w:val="ConsPlusNormal"/>
        <w:spacing w:before="220"/>
        <w:ind w:firstLine="540"/>
        <w:jc w:val="both"/>
      </w:pPr>
      <w:r>
        <w:t xml:space="preserve">В заголовочной </w:t>
      </w:r>
      <w:hyperlink w:anchor="P264" w:history="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0D3321" w:rsidRDefault="000D3321">
      <w:pPr>
        <w:pStyle w:val="ConsPlusNormal"/>
        <w:spacing w:before="220"/>
        <w:ind w:firstLine="540"/>
        <w:jc w:val="both"/>
      </w:pPr>
      <w:hyperlink w:anchor="P275" w:history="1">
        <w:r>
          <w:rPr>
            <w:color w:val="0000FF"/>
          </w:rPr>
          <w:t>дата</w:t>
        </w:r>
      </w:hyperlink>
      <w:r>
        <w:t xml:space="preserve"> составления документа, с отражением в кодовой зоне даты в формате "день, месяц, год" (00.00.0000);</w:t>
      </w:r>
    </w:p>
    <w:p w:rsidR="000D3321" w:rsidRDefault="000D3321">
      <w:pPr>
        <w:pStyle w:val="ConsPlusNormal"/>
        <w:spacing w:before="220"/>
        <w:ind w:firstLine="540"/>
        <w:jc w:val="both"/>
      </w:pPr>
      <w:r>
        <w:t xml:space="preserve">по </w:t>
      </w:r>
      <w:hyperlink w:anchor="P278" w:history="1">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w:t>
      </w:r>
      <w:r>
        <w:lastRenderedPageBreak/>
        <w:t>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rsidR="000D3321" w:rsidRDefault="000D3321">
      <w:pPr>
        <w:pStyle w:val="ConsPlusNormal"/>
        <w:spacing w:before="220"/>
        <w:ind w:firstLine="540"/>
        <w:jc w:val="both"/>
      </w:pPr>
      <w:r>
        <w:t>--------------------------------</w:t>
      </w:r>
    </w:p>
    <w:p w:rsidR="000D3321" w:rsidRDefault="000D3321">
      <w:pPr>
        <w:pStyle w:val="ConsPlusNormal"/>
        <w:spacing w:before="220"/>
        <w:ind w:firstLine="540"/>
        <w:jc w:val="both"/>
      </w:pPr>
      <w:r>
        <w:t xml:space="preserve">&lt;1&gt; </w:t>
      </w:r>
      <w:hyperlink r:id="rId17"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w:t>
      </w:r>
    </w:p>
    <w:p w:rsidR="000D3321" w:rsidRDefault="000D3321">
      <w:pPr>
        <w:pStyle w:val="ConsPlusNormal"/>
        <w:jc w:val="both"/>
      </w:pPr>
    </w:p>
    <w:p w:rsidR="000D3321" w:rsidRDefault="000D3321">
      <w:pPr>
        <w:pStyle w:val="ConsPlusNormal"/>
        <w:ind w:firstLine="540"/>
        <w:jc w:val="both"/>
      </w:pPr>
      <w:hyperlink w:anchor="P292" w:history="1">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0D3321" w:rsidRDefault="000D3321">
      <w:pPr>
        <w:pStyle w:val="ConsPlusNormal"/>
        <w:spacing w:before="220"/>
        <w:ind w:firstLine="540"/>
        <w:jc w:val="both"/>
      </w:pPr>
      <w:r>
        <w:t xml:space="preserve">В </w:t>
      </w:r>
      <w:hyperlink w:anchor="P300" w:history="1">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0D3321" w:rsidRDefault="000D3321">
      <w:pPr>
        <w:pStyle w:val="ConsPlusNormal"/>
        <w:spacing w:before="220"/>
        <w:ind w:firstLine="540"/>
        <w:jc w:val="both"/>
      </w:pPr>
      <w:r>
        <w:t xml:space="preserve">В </w:t>
      </w:r>
      <w:hyperlink w:anchor="P301" w:history="1">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0D3321" w:rsidRDefault="000D3321">
      <w:pPr>
        <w:pStyle w:val="ConsPlusNormal"/>
        <w:spacing w:before="220"/>
        <w:ind w:firstLine="540"/>
        <w:jc w:val="both"/>
      </w:pPr>
      <w:r>
        <w:t xml:space="preserve">В </w:t>
      </w:r>
      <w:hyperlink w:anchor="P302" w:history="1">
        <w:r>
          <w:rPr>
            <w:color w:val="0000FF"/>
          </w:rPr>
          <w:t>графе 4</w:t>
        </w:r>
      </w:hyperlink>
      <w:r>
        <w:t xml:space="preserve"> проставляются образцы подписей соответствующих должностных лиц.</w:t>
      </w:r>
    </w:p>
    <w:p w:rsidR="000D3321" w:rsidRDefault="000D3321">
      <w:pPr>
        <w:pStyle w:val="ConsPlusNormal"/>
        <w:spacing w:before="220"/>
        <w:ind w:firstLine="540"/>
        <w:jc w:val="both"/>
      </w:pPr>
      <w:r>
        <w:t xml:space="preserve">В </w:t>
      </w:r>
      <w:hyperlink w:anchor="P303"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0D3321" w:rsidRDefault="000D3321">
      <w:pPr>
        <w:pStyle w:val="ConsPlusNormal"/>
        <w:spacing w:before="220"/>
        <w:ind w:firstLine="540"/>
        <w:jc w:val="both"/>
      </w:pPr>
      <w:hyperlink w:anchor="P264" w:history="1">
        <w:r>
          <w:rPr>
            <w:color w:val="0000FF"/>
          </w:rPr>
          <w:t>Карточка</w:t>
        </w:r>
      </w:hyperlink>
      <w:r>
        <w:t xml:space="preserve"> образцов подписей подписывается:</w:t>
      </w:r>
    </w:p>
    <w:p w:rsidR="000D3321" w:rsidRDefault="000D3321">
      <w:pPr>
        <w:pStyle w:val="ConsPlusNormal"/>
        <w:spacing w:before="220"/>
        <w:ind w:firstLine="540"/>
        <w:jc w:val="both"/>
      </w:pPr>
      <w:r>
        <w:t xml:space="preserve">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w:t>
      </w:r>
      <w:r>
        <w:lastRenderedPageBreak/>
        <w:t>указанием расшифровки его подписи, содержащей полные (без сокращения) фамилию, имя и отчество;</w:t>
      </w:r>
    </w:p>
    <w:p w:rsidR="000D3321" w:rsidRDefault="000D3321">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0D3321" w:rsidRDefault="000D3321">
      <w:pPr>
        <w:pStyle w:val="ConsPlusNormal"/>
        <w:spacing w:before="22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0D3321" w:rsidRDefault="000D3321">
      <w:pPr>
        <w:pStyle w:val="ConsPlusNormal"/>
        <w:spacing w:before="220"/>
        <w:ind w:firstLine="540"/>
        <w:jc w:val="both"/>
      </w:pPr>
      <w:r>
        <w:t xml:space="preserve">17. </w:t>
      </w:r>
      <w:hyperlink w:anchor="P264" w:history="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0D3321" w:rsidRDefault="000D3321">
      <w:pPr>
        <w:pStyle w:val="ConsPlusNormal"/>
        <w:spacing w:before="220"/>
        <w:ind w:firstLine="540"/>
        <w:jc w:val="both"/>
      </w:pPr>
      <w:r>
        <w:t xml:space="preserve">а) </w:t>
      </w:r>
      <w:hyperlink w:anchor="P264" w:history="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0D3321" w:rsidRDefault="000D3321">
      <w:pPr>
        <w:pStyle w:val="ConsPlusNormal"/>
        <w:spacing w:before="22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0D3321" w:rsidRDefault="000D3321">
      <w:pPr>
        <w:pStyle w:val="ConsPlusNormal"/>
        <w:spacing w:before="220"/>
        <w:ind w:firstLine="540"/>
        <w:jc w:val="both"/>
      </w:pPr>
      <w:bookmarkStart w:id="4" w:name="P181"/>
      <w:bookmarkEnd w:id="4"/>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D3321" w:rsidRDefault="000D3321">
      <w:pPr>
        <w:pStyle w:val="ConsPlusNormal"/>
        <w:spacing w:before="220"/>
        <w:ind w:firstLine="540"/>
        <w:jc w:val="both"/>
      </w:pPr>
      <w:r>
        <w:t xml:space="preserve">г) при временном предоставлении лицу права первой или второй подписи (кроме случаев, предусмотренных </w:t>
      </w:r>
      <w:hyperlink w:anchor="P181" w:history="1">
        <w:r>
          <w:rPr>
            <w:color w:val="0000FF"/>
          </w:rPr>
          <w:t>подпунктом "в"</w:t>
        </w:r>
      </w:hyperlink>
      <w:r>
        <w:t xml:space="preserve"> настоящего пункта), а также при временной замене одного из лиц, включенных в </w:t>
      </w:r>
      <w:hyperlink w:anchor="P264" w:history="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3321" w:rsidRDefault="000D3321">
      <w:pPr>
        <w:pStyle w:val="ConsPlusNormal"/>
        <w:spacing w:before="220"/>
        <w:ind w:firstLine="540"/>
        <w:jc w:val="both"/>
      </w:pPr>
      <w:r>
        <w:lastRenderedPageBreak/>
        <w:t xml:space="preserve">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w:t>
      </w:r>
      <w:proofErr w:type="gramStart"/>
      <w:r>
        <w:t>номера</w:t>
      </w:r>
      <w:proofErr w:type="gramEnd"/>
      <w:r>
        <w:t xml:space="preserve">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0D3321" w:rsidRDefault="000D3321">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61" w:history="1">
        <w:r>
          <w:rPr>
            <w:color w:val="0000FF"/>
          </w:rPr>
          <w:t>пунктом 16</w:t>
        </w:r>
      </w:hyperlink>
      <w:r>
        <w:t xml:space="preserve"> настоящего Порядка, </w:t>
      </w:r>
      <w:hyperlink w:anchor="P264" w:history="1">
        <w:r>
          <w:rPr>
            <w:color w:val="0000FF"/>
          </w:rPr>
          <w:t>Карточка</w:t>
        </w:r>
      </w:hyperlink>
      <w:r>
        <w:t xml:space="preserve"> образцов подписей с образцами подписей всех лиц, имеющих право первой и второй подписи.</w:t>
      </w:r>
    </w:p>
    <w:p w:rsidR="000D3321" w:rsidRDefault="000D3321">
      <w:pPr>
        <w:pStyle w:val="ConsPlusNormal"/>
        <w:spacing w:before="220"/>
        <w:ind w:firstLine="540"/>
        <w:jc w:val="both"/>
      </w:pPr>
      <w:r>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56" w:history="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378" w:history="1">
        <w:r>
          <w:rPr>
            <w:color w:val="0000FF"/>
          </w:rPr>
          <w:t>приложению N 3</w:t>
        </w:r>
      </w:hyperlink>
      <w:r>
        <w:t xml:space="preserve"> к настоящему Порядку, после чего казначейский счет считается открытым.</w:t>
      </w:r>
    </w:p>
    <w:p w:rsidR="000D3321" w:rsidRDefault="000D3321">
      <w:pPr>
        <w:pStyle w:val="ConsPlusNormal"/>
        <w:spacing w:before="220"/>
        <w:ind w:firstLine="540"/>
        <w:jc w:val="both"/>
      </w:pPr>
      <w:r>
        <w:t>Книга регистрации казначейских счетов формируется и ведется территориальными органами Федерального казначейства.</w:t>
      </w:r>
    </w:p>
    <w:p w:rsidR="000D3321" w:rsidRDefault="000D3321">
      <w:pPr>
        <w:pStyle w:val="ConsPlusNormal"/>
        <w:spacing w:before="220"/>
        <w:ind w:firstLine="540"/>
        <w:jc w:val="both"/>
      </w:pPr>
      <w:r>
        <w:t xml:space="preserve">19. Документы, представленные для открытия казначейского счета в соответствии с </w:t>
      </w:r>
      <w:hyperlink w:anchor="P156" w:history="1">
        <w:r>
          <w:rPr>
            <w:color w:val="0000FF"/>
          </w:rPr>
          <w:t>пунктом 15</w:t>
        </w:r>
      </w:hyperlink>
      <w:r>
        <w:t xml:space="preserve"> настоящего Порядка, не соответствующие положениям </w:t>
      </w:r>
      <w:hyperlink w:anchor="P156" w:history="1">
        <w:r>
          <w:rPr>
            <w:color w:val="0000FF"/>
          </w:rPr>
          <w:t>пунктов 15</w:t>
        </w:r>
      </w:hyperlink>
      <w:r>
        <w:t xml:space="preserve"> и (или) </w:t>
      </w:r>
      <w:hyperlink w:anchor="P161" w:history="1">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w:t>
      </w:r>
      <w:hyperlink r:id="rId18" w:history="1">
        <w:r>
          <w:rPr>
            <w:color w:val="0000FF"/>
          </w:rPr>
          <w:t>Протоколом</w:t>
        </w:r>
      </w:hyperlink>
      <w:r>
        <w:t xml:space="preserve"> (код формы по КФД 0531805) (далее - Протокол), в котором указывается причина возврата.</w:t>
      </w:r>
    </w:p>
    <w:p w:rsidR="000D3321" w:rsidRDefault="000D3321">
      <w:pPr>
        <w:pStyle w:val="ConsPlusNormal"/>
        <w:spacing w:before="22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0D3321" w:rsidRDefault="000D3321">
      <w:pPr>
        <w:pStyle w:val="ConsPlusNormal"/>
        <w:spacing w:before="22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0D3321" w:rsidRDefault="000D3321">
      <w:pPr>
        <w:pStyle w:val="ConsPlusNormal"/>
        <w:spacing w:before="220"/>
        <w:ind w:firstLine="540"/>
        <w:jc w:val="both"/>
      </w:pPr>
      <w:r>
        <w:t>Копия информации об изменении номера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3321" w:rsidRDefault="000D3321">
      <w:pPr>
        <w:pStyle w:val="ConsPlusNormal"/>
        <w:jc w:val="both"/>
      </w:pPr>
    </w:p>
    <w:p w:rsidR="000D3321" w:rsidRDefault="000D3321">
      <w:pPr>
        <w:pStyle w:val="ConsPlusTitle"/>
        <w:jc w:val="center"/>
        <w:outlineLvl w:val="1"/>
      </w:pPr>
      <w:r>
        <w:lastRenderedPageBreak/>
        <w:t>III. Закрытие казначейских счетов</w:t>
      </w:r>
    </w:p>
    <w:p w:rsidR="000D3321" w:rsidRDefault="000D3321">
      <w:pPr>
        <w:pStyle w:val="ConsPlusNormal"/>
        <w:jc w:val="both"/>
      </w:pPr>
    </w:p>
    <w:p w:rsidR="000D3321" w:rsidRDefault="000D3321">
      <w:pPr>
        <w:pStyle w:val="ConsPlusNormal"/>
        <w:ind w:firstLine="540"/>
        <w:jc w:val="both"/>
      </w:pPr>
      <w:r>
        <w:t>22. Закрытие казначейского счета осуществляется в следующих случаях:</w:t>
      </w:r>
    </w:p>
    <w:p w:rsidR="000D3321" w:rsidRDefault="000D3321">
      <w:pPr>
        <w:pStyle w:val="ConsPlusNormal"/>
        <w:spacing w:before="22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0D3321" w:rsidRDefault="000D3321">
      <w:pPr>
        <w:pStyle w:val="ConsPlusNormal"/>
        <w:spacing w:before="220"/>
        <w:ind w:firstLine="540"/>
        <w:jc w:val="both"/>
      </w:pPr>
      <w:r>
        <w:t>б) иных случаях, предусмотренных законодательными и иными нормативными правовыми актами Российской Федерации.</w:t>
      </w:r>
    </w:p>
    <w:p w:rsidR="000D3321" w:rsidRDefault="000D3321">
      <w:pPr>
        <w:pStyle w:val="ConsPlusNormal"/>
        <w:spacing w:before="22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0D3321" w:rsidRDefault="000D3321">
      <w:pPr>
        <w:pStyle w:val="ConsPlusNormal"/>
        <w:spacing w:before="22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0D3321" w:rsidRDefault="000D3321">
      <w:pPr>
        <w:pStyle w:val="ConsPlusNormal"/>
        <w:spacing w:before="22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06" w:history="1">
        <w:r>
          <w:rPr>
            <w:color w:val="0000FF"/>
          </w:rPr>
          <w:t>приложению N 4</w:t>
        </w:r>
      </w:hyperlink>
      <w:r>
        <w:t xml:space="preserve"> к настоящему Порядку.</w:t>
      </w:r>
    </w:p>
    <w:p w:rsidR="000D3321" w:rsidRDefault="000D3321">
      <w:pPr>
        <w:pStyle w:val="ConsPlusNormal"/>
        <w:spacing w:before="220"/>
        <w:ind w:firstLine="540"/>
        <w:jc w:val="both"/>
      </w:pPr>
      <w:bookmarkStart w:id="5" w:name="P200"/>
      <w:bookmarkEnd w:id="5"/>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0D3321" w:rsidRDefault="000D3321">
      <w:pPr>
        <w:pStyle w:val="ConsPlusNormal"/>
        <w:spacing w:before="220"/>
        <w:ind w:firstLine="540"/>
        <w:jc w:val="both"/>
      </w:pPr>
      <w:r>
        <w:t xml:space="preserve">27. Заявление на закрытие казначейского счета, не прошедшее проверку в соответствии с положениями </w:t>
      </w:r>
      <w:hyperlink w:anchor="P200" w:history="1">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w:t>
      </w:r>
      <w:hyperlink r:id="rId19" w:history="1">
        <w:r>
          <w:rPr>
            <w:color w:val="0000FF"/>
          </w:rPr>
          <w:t>Протоколом</w:t>
        </w:r>
      </w:hyperlink>
      <w:r>
        <w:t>, в котором указывается причина возврата.</w:t>
      </w:r>
    </w:p>
    <w:p w:rsidR="000D3321" w:rsidRDefault="000D3321">
      <w:pPr>
        <w:pStyle w:val="ConsPlusNormal"/>
        <w:spacing w:before="220"/>
        <w:ind w:firstLine="540"/>
        <w:jc w:val="both"/>
      </w:pPr>
      <w:r>
        <w:t>28. Казначейский счет закрывается при отсутствии на нем денежных средств.</w:t>
      </w:r>
    </w:p>
    <w:p w:rsidR="000D3321" w:rsidRDefault="000D3321">
      <w:pPr>
        <w:pStyle w:val="ConsPlusNormal"/>
        <w:spacing w:before="22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0D3321" w:rsidRDefault="000D3321">
      <w:pPr>
        <w:pStyle w:val="ConsPlusNormal"/>
        <w:spacing w:before="22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0D3321" w:rsidRDefault="000D3321">
      <w:pPr>
        <w:pStyle w:val="ConsPlusNormal"/>
        <w:spacing w:before="220"/>
        <w:ind w:firstLine="540"/>
        <w:jc w:val="both"/>
      </w:pPr>
      <w:r>
        <w:t xml:space="preserve">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w:t>
      </w:r>
      <w:r>
        <w:lastRenderedPageBreak/>
        <w:t>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0D3321" w:rsidRDefault="000D3321">
      <w:pPr>
        <w:pStyle w:val="ConsPlusNormal"/>
        <w:spacing w:before="220"/>
        <w:ind w:firstLine="540"/>
        <w:jc w:val="both"/>
      </w:pPr>
      <w:r>
        <w:t>31. Заявление на закрытие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3321" w:rsidRDefault="000D3321">
      <w:pPr>
        <w:pStyle w:val="ConsPlusNormal"/>
        <w:jc w:val="both"/>
      </w:pPr>
    </w:p>
    <w:p w:rsidR="000D3321" w:rsidRDefault="000D3321">
      <w:pPr>
        <w:pStyle w:val="ConsPlusTitle"/>
        <w:jc w:val="center"/>
        <w:outlineLvl w:val="1"/>
      </w:pPr>
      <w:r>
        <w:t>IV. Документооборот при ведении казначейских счетов</w:t>
      </w:r>
    </w:p>
    <w:p w:rsidR="000D3321" w:rsidRDefault="000D3321">
      <w:pPr>
        <w:pStyle w:val="ConsPlusNormal"/>
        <w:jc w:val="both"/>
      </w:pPr>
    </w:p>
    <w:p w:rsidR="000D3321" w:rsidRDefault="000D3321">
      <w:pPr>
        <w:pStyle w:val="ConsPlusNormal"/>
        <w:ind w:firstLine="540"/>
        <w:jc w:val="both"/>
      </w:pPr>
      <w:r>
        <w:t>32. Территориальный орган Федерального казначейства не позднее рабочего дня, следующего за днем совершения операции по казначейскому счету,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0D3321" w:rsidRDefault="000D3321">
      <w:pPr>
        <w:pStyle w:val="ConsPlusNormal"/>
        <w:spacing w:before="220"/>
        <w:ind w:firstLine="540"/>
        <w:jc w:val="both"/>
      </w:pPr>
      <w:r>
        <w:t>дата формирования выписки;</w:t>
      </w:r>
    </w:p>
    <w:p w:rsidR="000D3321" w:rsidRDefault="000D3321">
      <w:pPr>
        <w:pStyle w:val="ConsPlusNormal"/>
        <w:spacing w:before="220"/>
        <w:ind w:firstLine="540"/>
        <w:jc w:val="both"/>
      </w:pPr>
      <w:r>
        <w:t>остаток на начало дня формирования выписки;</w:t>
      </w:r>
    </w:p>
    <w:p w:rsidR="000D3321" w:rsidRDefault="000D3321">
      <w:pPr>
        <w:pStyle w:val="ConsPlusNormal"/>
        <w:spacing w:before="220"/>
        <w:ind w:firstLine="540"/>
        <w:jc w:val="both"/>
      </w:pPr>
      <w:r>
        <w:t>остаток на конец дня формирования выписки;</w:t>
      </w:r>
    </w:p>
    <w:p w:rsidR="000D3321" w:rsidRDefault="000D3321">
      <w:pPr>
        <w:pStyle w:val="ConsPlusNormal"/>
        <w:spacing w:before="220"/>
        <w:ind w:firstLine="540"/>
        <w:jc w:val="both"/>
      </w:pPr>
      <w:r>
        <w:t>номер и дата документа, на основании которого отражена операция на казначейском счете;</w:t>
      </w:r>
    </w:p>
    <w:p w:rsidR="000D3321" w:rsidRDefault="000D3321">
      <w:pPr>
        <w:pStyle w:val="ConsPlusNormal"/>
        <w:spacing w:before="220"/>
        <w:ind w:firstLine="540"/>
        <w:jc w:val="both"/>
      </w:pPr>
      <w:r>
        <w:t>сумма поступлений;</w:t>
      </w:r>
    </w:p>
    <w:p w:rsidR="000D3321" w:rsidRDefault="000D3321">
      <w:pPr>
        <w:pStyle w:val="ConsPlusNormal"/>
        <w:spacing w:before="220"/>
        <w:ind w:firstLine="540"/>
        <w:jc w:val="both"/>
      </w:pPr>
      <w:r>
        <w:t>сумма перечислений;</w:t>
      </w:r>
    </w:p>
    <w:p w:rsidR="000D3321" w:rsidRDefault="000D3321">
      <w:pPr>
        <w:pStyle w:val="ConsPlusNormal"/>
        <w:spacing w:before="220"/>
        <w:ind w:firstLine="540"/>
        <w:jc w:val="both"/>
      </w:pPr>
      <w:r>
        <w:t>итоговая сумма поступлений;</w:t>
      </w:r>
    </w:p>
    <w:p w:rsidR="000D3321" w:rsidRDefault="000D3321">
      <w:pPr>
        <w:pStyle w:val="ConsPlusNormal"/>
        <w:spacing w:before="220"/>
        <w:ind w:firstLine="540"/>
        <w:jc w:val="both"/>
      </w:pPr>
      <w:r>
        <w:t>итоговая сумма перечислений;</w:t>
      </w:r>
    </w:p>
    <w:p w:rsidR="000D3321" w:rsidRDefault="000D3321">
      <w:pPr>
        <w:pStyle w:val="ConsPlusNormal"/>
        <w:spacing w:before="220"/>
        <w:ind w:firstLine="540"/>
        <w:jc w:val="both"/>
      </w:pPr>
      <w:r>
        <w:t>счет отправителя;</w:t>
      </w:r>
    </w:p>
    <w:p w:rsidR="000D3321" w:rsidRDefault="000D3321">
      <w:pPr>
        <w:pStyle w:val="ConsPlusNormal"/>
        <w:spacing w:before="220"/>
        <w:ind w:firstLine="540"/>
        <w:jc w:val="both"/>
      </w:pPr>
      <w:r>
        <w:t>счет получателя;</w:t>
      </w:r>
    </w:p>
    <w:p w:rsidR="000D3321" w:rsidRDefault="000D3321">
      <w:pPr>
        <w:pStyle w:val="ConsPlusNormal"/>
        <w:spacing w:before="220"/>
        <w:ind w:firstLine="540"/>
        <w:jc w:val="both"/>
      </w:pPr>
      <w:r>
        <w:t>назначение платежа.</w:t>
      </w:r>
    </w:p>
    <w:p w:rsidR="000D3321" w:rsidRDefault="000D3321">
      <w:pPr>
        <w:pStyle w:val="ConsPlusNormal"/>
        <w:spacing w:before="220"/>
        <w:ind w:firstLine="540"/>
        <w:jc w:val="both"/>
      </w:pPr>
      <w:r>
        <w:t>33. В случае обнаружения в выписке из казначейского счета сумм, ошибочно отраженных на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в срок не позднее третьего рабочего дня, следующего за днем получения данной выписки, сообщает территориальному органу Федерального казначейства о суммах, ошибочно отраженных на казначейском счете. При не поступлении от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информации в указанные сроки совершенные операции по казначейскому счету и остатки, отраженные на казначейских счетах, считаются подтвержденными.</w:t>
      </w:r>
    </w:p>
    <w:p w:rsidR="000D3321" w:rsidRDefault="000D3321">
      <w:pPr>
        <w:pStyle w:val="ConsPlusNormal"/>
        <w:spacing w:before="22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right"/>
        <w:outlineLvl w:val="1"/>
      </w:pPr>
      <w:r>
        <w:lastRenderedPageBreak/>
        <w:t>Приложение N 1</w:t>
      </w:r>
    </w:p>
    <w:p w:rsidR="000D3321" w:rsidRDefault="000D3321">
      <w:pPr>
        <w:pStyle w:val="ConsPlusNormal"/>
        <w:jc w:val="right"/>
      </w:pPr>
      <w:r>
        <w:t>к Порядку открытия казначейских счетов</w:t>
      </w:r>
    </w:p>
    <w:p w:rsidR="000D3321" w:rsidRDefault="000D3321">
      <w:pPr>
        <w:pStyle w:val="ConsPlusNormal"/>
        <w:jc w:val="both"/>
      </w:pPr>
    </w:p>
    <w:p w:rsidR="000D3321" w:rsidRDefault="000D3321">
      <w:pPr>
        <w:pStyle w:val="ConsPlusTitle"/>
        <w:jc w:val="center"/>
      </w:pPr>
      <w:bookmarkStart w:id="6" w:name="P232"/>
      <w:bookmarkEnd w:id="6"/>
      <w:r>
        <w:t>РЕКВИЗИТЫ ЗАЯВЛЕНИЯ НА ОТКРЫТИЕ КАЗНАЧЕЙСКОГО СЧЕТА</w:t>
      </w:r>
    </w:p>
    <w:p w:rsidR="000D3321" w:rsidRDefault="000D33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5"/>
        <w:gridCol w:w="5928"/>
      </w:tblGrid>
      <w:tr w:rsidR="000D3321">
        <w:tc>
          <w:tcPr>
            <w:tcW w:w="3125" w:type="dxa"/>
          </w:tcPr>
          <w:p w:rsidR="000D3321" w:rsidRDefault="000D3321">
            <w:pPr>
              <w:pStyle w:val="ConsPlusNormal"/>
              <w:jc w:val="center"/>
            </w:pPr>
            <w:r>
              <w:t>Наименование реквизита</w:t>
            </w:r>
          </w:p>
        </w:tc>
        <w:tc>
          <w:tcPr>
            <w:tcW w:w="5928" w:type="dxa"/>
          </w:tcPr>
          <w:p w:rsidR="000D3321" w:rsidRDefault="000D3321">
            <w:pPr>
              <w:pStyle w:val="ConsPlusNormal"/>
              <w:jc w:val="center"/>
            </w:pPr>
            <w:r>
              <w:t>Правила формирования, заполнения реквизита</w:t>
            </w:r>
          </w:p>
        </w:tc>
      </w:tr>
      <w:tr w:rsidR="000D3321">
        <w:tc>
          <w:tcPr>
            <w:tcW w:w="3125" w:type="dxa"/>
          </w:tcPr>
          <w:p w:rsidR="000D3321" w:rsidRDefault="000D3321">
            <w:pPr>
              <w:pStyle w:val="ConsPlusNormal"/>
            </w:pPr>
            <w:r>
              <w:t>1. Наименование клиента</w:t>
            </w:r>
          </w:p>
        </w:tc>
        <w:tc>
          <w:tcPr>
            <w:tcW w:w="5928" w:type="dxa"/>
          </w:tcPr>
          <w:p w:rsidR="000D3321" w:rsidRDefault="000D3321">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3321">
        <w:tc>
          <w:tcPr>
            <w:tcW w:w="3125" w:type="dxa"/>
          </w:tcPr>
          <w:p w:rsidR="000D3321" w:rsidRDefault="000D3321">
            <w:pPr>
              <w:pStyle w:val="ConsPlusNormal"/>
            </w:pPr>
            <w:r>
              <w:t>2. ИНН</w:t>
            </w:r>
          </w:p>
        </w:tc>
        <w:tc>
          <w:tcPr>
            <w:tcW w:w="5928" w:type="dxa"/>
          </w:tcPr>
          <w:p w:rsidR="000D3321" w:rsidRDefault="000D3321">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125" w:type="dxa"/>
          </w:tcPr>
          <w:p w:rsidR="000D3321" w:rsidRDefault="000D3321">
            <w:pPr>
              <w:pStyle w:val="ConsPlusNormal"/>
            </w:pPr>
            <w:r>
              <w:t>3. КПП</w:t>
            </w:r>
          </w:p>
        </w:tc>
        <w:tc>
          <w:tcPr>
            <w:tcW w:w="5928" w:type="dxa"/>
          </w:tcPr>
          <w:p w:rsidR="000D3321" w:rsidRDefault="000D3321">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125" w:type="dxa"/>
          </w:tcPr>
          <w:p w:rsidR="000D3321" w:rsidRDefault="000D3321">
            <w:pPr>
              <w:pStyle w:val="ConsPlusNormal"/>
            </w:pPr>
            <w:r>
              <w:t>4. Код по Сводному реестру</w:t>
            </w:r>
          </w:p>
        </w:tc>
        <w:tc>
          <w:tcPr>
            <w:tcW w:w="5928" w:type="dxa"/>
          </w:tcPr>
          <w:p w:rsidR="000D3321" w:rsidRDefault="000D3321">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125" w:type="dxa"/>
          </w:tcPr>
          <w:p w:rsidR="000D3321" w:rsidRDefault="000D3321">
            <w:pPr>
              <w:pStyle w:val="ConsPlusNormal"/>
            </w:pPr>
            <w:r>
              <w:t>5. Код по ОКПО</w:t>
            </w:r>
          </w:p>
        </w:tc>
        <w:tc>
          <w:tcPr>
            <w:tcW w:w="5928" w:type="dxa"/>
          </w:tcPr>
          <w:p w:rsidR="000D3321" w:rsidRDefault="000D3321">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125" w:type="dxa"/>
          </w:tcPr>
          <w:p w:rsidR="000D3321" w:rsidRDefault="000D3321">
            <w:pPr>
              <w:pStyle w:val="ConsPlusNormal"/>
            </w:pPr>
            <w:r>
              <w:t xml:space="preserve">6. Код </w:t>
            </w:r>
            <w:hyperlink r:id="rId20" w:history="1">
              <w:r>
                <w:rPr>
                  <w:color w:val="0000FF"/>
                </w:rPr>
                <w:t>ОКТМО</w:t>
              </w:r>
            </w:hyperlink>
          </w:p>
        </w:tc>
        <w:tc>
          <w:tcPr>
            <w:tcW w:w="5928" w:type="dxa"/>
          </w:tcPr>
          <w:p w:rsidR="000D3321" w:rsidRDefault="000D3321">
            <w:pPr>
              <w:pStyle w:val="ConsPlusNormal"/>
              <w:jc w:val="both"/>
            </w:pPr>
            <w:r>
              <w:t xml:space="preserve">Указывается код по Общероссийскому </w:t>
            </w:r>
            <w:hyperlink r:id="rId21" w:history="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125" w:type="dxa"/>
          </w:tcPr>
          <w:p w:rsidR="000D3321" w:rsidRDefault="000D3321">
            <w:pPr>
              <w:pStyle w:val="ConsPlusNormal"/>
            </w:pPr>
            <w:r>
              <w:t>7. Наименование открываемого казначейского счета</w:t>
            </w:r>
          </w:p>
        </w:tc>
        <w:tc>
          <w:tcPr>
            <w:tcW w:w="5928" w:type="dxa"/>
            <w:vAlign w:val="bottom"/>
          </w:tcPr>
          <w:p w:rsidR="000D3321" w:rsidRDefault="000D3321">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0D3321">
        <w:tc>
          <w:tcPr>
            <w:tcW w:w="3125" w:type="dxa"/>
          </w:tcPr>
          <w:p w:rsidR="000D3321" w:rsidRDefault="000D3321">
            <w:pPr>
              <w:pStyle w:val="ConsPlusNormal"/>
            </w:pPr>
            <w:r>
              <w:t>8. Код валюты</w:t>
            </w:r>
          </w:p>
        </w:tc>
        <w:tc>
          <w:tcPr>
            <w:tcW w:w="5928" w:type="dxa"/>
            <w:vAlign w:val="bottom"/>
          </w:tcPr>
          <w:p w:rsidR="000D3321" w:rsidRDefault="000D3321">
            <w:pPr>
              <w:pStyle w:val="ConsPlusNormal"/>
            </w:pPr>
            <w:r>
              <w:t xml:space="preserve">Указывается код валюты по Общероссийскому </w:t>
            </w:r>
            <w:hyperlink r:id="rId22" w:history="1">
              <w:r>
                <w:rPr>
                  <w:color w:val="0000FF"/>
                </w:rPr>
                <w:t>классификатору</w:t>
              </w:r>
            </w:hyperlink>
            <w:r>
              <w:t xml:space="preserve"> валют</w:t>
            </w:r>
          </w:p>
        </w:tc>
      </w:tr>
      <w:tr w:rsidR="000D3321">
        <w:tc>
          <w:tcPr>
            <w:tcW w:w="3125" w:type="dxa"/>
            <w:vAlign w:val="center"/>
          </w:tcPr>
          <w:p w:rsidR="000D3321" w:rsidRDefault="000D3321">
            <w:pPr>
              <w:pStyle w:val="ConsPlusNormal"/>
            </w:pPr>
            <w:r>
              <w:lastRenderedPageBreak/>
              <w:t>9. Руководитель клиента (уполномоченное лицо)</w:t>
            </w:r>
          </w:p>
        </w:tc>
        <w:tc>
          <w:tcPr>
            <w:tcW w:w="5928" w:type="dxa"/>
            <w:vAlign w:val="bottom"/>
          </w:tcPr>
          <w:p w:rsidR="000D3321" w:rsidRDefault="000D3321">
            <w:pPr>
              <w:pStyle w:val="ConsPlusNormal"/>
            </w:pPr>
            <w:r>
              <w:t>Указываются фамилия, имя, отчество (полностью) руководителя (уполномоченного лица)</w:t>
            </w:r>
          </w:p>
        </w:tc>
      </w:tr>
      <w:tr w:rsidR="000D3321">
        <w:tc>
          <w:tcPr>
            <w:tcW w:w="3125" w:type="dxa"/>
            <w:vAlign w:val="bottom"/>
          </w:tcPr>
          <w:p w:rsidR="000D3321" w:rsidRDefault="000D3321">
            <w:pPr>
              <w:pStyle w:val="ConsPlusNormal"/>
            </w:pPr>
            <w:r>
              <w:t>10. Главный бухгалтер клиента (уполномоченное лицо)</w:t>
            </w:r>
          </w:p>
        </w:tc>
        <w:tc>
          <w:tcPr>
            <w:tcW w:w="5928" w:type="dxa"/>
          </w:tcPr>
          <w:p w:rsidR="000D3321" w:rsidRDefault="000D3321">
            <w:pPr>
              <w:pStyle w:val="ConsPlusNormal"/>
            </w:pPr>
            <w:r>
              <w:t>Указываются фамилия, имя, отчество (полностью) главного бухгалтера (уполномоченного лица)</w:t>
            </w:r>
          </w:p>
        </w:tc>
      </w:tr>
    </w:tbl>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right"/>
        <w:outlineLvl w:val="1"/>
      </w:pPr>
      <w:r>
        <w:t>Приложение N 2</w:t>
      </w:r>
    </w:p>
    <w:p w:rsidR="000D3321" w:rsidRDefault="000D3321">
      <w:pPr>
        <w:pStyle w:val="ConsPlusNormal"/>
        <w:jc w:val="right"/>
      </w:pPr>
      <w:r>
        <w:t>к Порядку открытия казначейских счетов</w:t>
      </w:r>
    </w:p>
    <w:p w:rsidR="000D3321" w:rsidRDefault="000D3321">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6"/>
        <w:gridCol w:w="1245"/>
        <w:gridCol w:w="1701"/>
      </w:tblGrid>
      <w:tr w:rsidR="000D3321">
        <w:tc>
          <w:tcPr>
            <w:tcW w:w="6066" w:type="dxa"/>
            <w:tcBorders>
              <w:top w:val="nil"/>
              <w:left w:val="nil"/>
              <w:bottom w:val="nil"/>
            </w:tcBorders>
          </w:tcPr>
          <w:p w:rsidR="000D3321" w:rsidRDefault="000D3321">
            <w:pPr>
              <w:pStyle w:val="ConsPlusNormal"/>
              <w:jc w:val="right"/>
            </w:pPr>
            <w:bookmarkStart w:id="7" w:name="P264"/>
            <w:bookmarkEnd w:id="7"/>
            <w:r>
              <w:t>КАРТОЧКА ОБРАЗЦОВ ПОДПИСЕЙ N</w:t>
            </w:r>
          </w:p>
        </w:tc>
        <w:tc>
          <w:tcPr>
            <w:tcW w:w="1245" w:type="dxa"/>
            <w:tcBorders>
              <w:top w:val="single" w:sz="4" w:space="0" w:color="auto"/>
              <w:bottom w:val="single" w:sz="4" w:space="0" w:color="auto"/>
            </w:tcBorders>
          </w:tcPr>
          <w:p w:rsidR="000D3321" w:rsidRDefault="000D3321">
            <w:pPr>
              <w:pStyle w:val="ConsPlusNormal"/>
            </w:pPr>
          </w:p>
        </w:tc>
        <w:tc>
          <w:tcPr>
            <w:tcW w:w="1701" w:type="dxa"/>
            <w:tcBorders>
              <w:top w:val="nil"/>
              <w:bottom w:val="nil"/>
              <w:right w:val="nil"/>
            </w:tcBorders>
          </w:tcPr>
          <w:p w:rsidR="000D3321" w:rsidRDefault="000D3321">
            <w:pPr>
              <w:pStyle w:val="ConsPlusNormal"/>
            </w:pPr>
          </w:p>
        </w:tc>
      </w:tr>
      <w:tr w:rsidR="000D3321">
        <w:tc>
          <w:tcPr>
            <w:tcW w:w="9012" w:type="dxa"/>
            <w:gridSpan w:val="3"/>
            <w:tcBorders>
              <w:top w:val="nil"/>
              <w:left w:val="nil"/>
              <w:bottom w:val="nil"/>
              <w:right w:val="nil"/>
            </w:tcBorders>
          </w:tcPr>
          <w:p w:rsidR="000D3321" w:rsidRDefault="000D3321">
            <w:pPr>
              <w:pStyle w:val="ConsPlusNormal"/>
              <w:jc w:val="center"/>
            </w:pPr>
            <w:r>
              <w:t>К КАЗНАЧЕЙСКИМ СЧЕТАМ N __________________________</w:t>
            </w:r>
          </w:p>
          <w:p w:rsidR="000D3321" w:rsidRDefault="000D3321">
            <w:pPr>
              <w:pStyle w:val="ConsPlusNormal"/>
              <w:jc w:val="center"/>
            </w:pPr>
            <w:r>
              <w:t>______________________________________________________</w:t>
            </w:r>
          </w:p>
        </w:tc>
      </w:tr>
    </w:tbl>
    <w:p w:rsidR="000D3321" w:rsidRDefault="000D332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3015"/>
        <w:gridCol w:w="1531"/>
        <w:gridCol w:w="1304"/>
      </w:tblGrid>
      <w:tr w:rsidR="000D3321">
        <w:tc>
          <w:tcPr>
            <w:tcW w:w="7711" w:type="dxa"/>
            <w:gridSpan w:val="3"/>
            <w:tcBorders>
              <w:top w:val="nil"/>
              <w:left w:val="nil"/>
              <w:bottom w:val="nil"/>
            </w:tcBorders>
            <w:vAlign w:val="bottom"/>
          </w:tcPr>
          <w:p w:rsidR="000D3321" w:rsidRDefault="000D3321">
            <w:pPr>
              <w:pStyle w:val="ConsPlusNormal"/>
            </w:pPr>
          </w:p>
        </w:tc>
        <w:tc>
          <w:tcPr>
            <w:tcW w:w="1304" w:type="dxa"/>
            <w:tcBorders>
              <w:top w:val="single" w:sz="4" w:space="0" w:color="auto"/>
              <w:bottom w:val="single" w:sz="4" w:space="0" w:color="auto"/>
            </w:tcBorders>
            <w:vAlign w:val="bottom"/>
          </w:tcPr>
          <w:p w:rsidR="000D3321" w:rsidRDefault="000D3321">
            <w:pPr>
              <w:pStyle w:val="ConsPlusNormal"/>
              <w:jc w:val="center"/>
            </w:pPr>
            <w:r>
              <w:t>Коды</w:t>
            </w:r>
          </w:p>
        </w:tc>
      </w:tr>
      <w:tr w:rsidR="000D3321">
        <w:tblPrEx>
          <w:tblBorders>
            <w:insideV w:val="none" w:sz="0" w:space="0" w:color="auto"/>
          </w:tblBorders>
        </w:tblPrEx>
        <w:tc>
          <w:tcPr>
            <w:tcW w:w="6180" w:type="dxa"/>
            <w:gridSpan w:val="2"/>
            <w:tcBorders>
              <w:top w:val="nil"/>
              <w:left w:val="nil"/>
              <w:bottom w:val="nil"/>
              <w:right w:val="nil"/>
            </w:tcBorders>
          </w:tcPr>
          <w:p w:rsidR="000D3321" w:rsidRDefault="000D3321">
            <w:pPr>
              <w:pStyle w:val="ConsPlusNormal"/>
            </w:pPr>
          </w:p>
        </w:tc>
        <w:tc>
          <w:tcPr>
            <w:tcW w:w="1531" w:type="dxa"/>
            <w:tcBorders>
              <w:top w:val="nil"/>
              <w:left w:val="nil"/>
              <w:bottom w:val="nil"/>
              <w:right w:val="single" w:sz="4" w:space="0" w:color="auto"/>
            </w:tcBorders>
            <w:vAlign w:val="bottom"/>
          </w:tcPr>
          <w:p w:rsidR="000D3321" w:rsidRDefault="000D3321">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r w:rsidR="000D3321">
        <w:tblPrEx>
          <w:tblBorders>
            <w:insideV w:val="none" w:sz="0" w:space="0" w:color="auto"/>
          </w:tblBorders>
        </w:tblPrEx>
        <w:tc>
          <w:tcPr>
            <w:tcW w:w="6180" w:type="dxa"/>
            <w:gridSpan w:val="2"/>
            <w:tcBorders>
              <w:top w:val="nil"/>
              <w:left w:val="nil"/>
              <w:bottom w:val="nil"/>
              <w:right w:val="nil"/>
            </w:tcBorders>
            <w:vAlign w:val="bottom"/>
          </w:tcPr>
          <w:p w:rsidR="000D3321" w:rsidRDefault="000D3321">
            <w:pPr>
              <w:pStyle w:val="ConsPlusNormal"/>
              <w:jc w:val="center"/>
            </w:pPr>
            <w:bookmarkStart w:id="8" w:name="P275"/>
            <w:bookmarkEnd w:id="8"/>
            <w:r>
              <w:t>от "__" ___________ 20__ г.</w:t>
            </w:r>
          </w:p>
        </w:tc>
        <w:tc>
          <w:tcPr>
            <w:tcW w:w="1531" w:type="dxa"/>
            <w:tcBorders>
              <w:top w:val="nil"/>
              <w:left w:val="nil"/>
              <w:bottom w:val="nil"/>
              <w:right w:val="single" w:sz="4" w:space="0" w:color="auto"/>
            </w:tcBorders>
            <w:vAlign w:val="bottom"/>
          </w:tcPr>
          <w:p w:rsidR="000D3321" w:rsidRDefault="000D3321">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r w:rsidR="000D3321">
        <w:tblPrEx>
          <w:tblBorders>
            <w:insideV w:val="none" w:sz="0" w:space="0" w:color="auto"/>
          </w:tblBorders>
        </w:tblPrEx>
        <w:tc>
          <w:tcPr>
            <w:tcW w:w="3165" w:type="dxa"/>
            <w:tcBorders>
              <w:top w:val="nil"/>
              <w:left w:val="nil"/>
              <w:bottom w:val="nil"/>
              <w:right w:val="nil"/>
            </w:tcBorders>
            <w:vAlign w:val="bottom"/>
          </w:tcPr>
          <w:p w:rsidR="000D3321" w:rsidRDefault="000D3321">
            <w:pPr>
              <w:pStyle w:val="ConsPlusNormal"/>
            </w:pPr>
            <w:bookmarkStart w:id="9" w:name="P278"/>
            <w:bookmarkEnd w:id="9"/>
            <w:r>
              <w:t>Наименование клиента</w:t>
            </w:r>
          </w:p>
        </w:tc>
        <w:tc>
          <w:tcPr>
            <w:tcW w:w="3015" w:type="dxa"/>
            <w:tcBorders>
              <w:top w:val="nil"/>
              <w:left w:val="nil"/>
              <w:bottom w:val="single" w:sz="4" w:space="0" w:color="auto"/>
              <w:right w:val="nil"/>
            </w:tcBorders>
          </w:tcPr>
          <w:p w:rsidR="000D3321" w:rsidRDefault="000D3321">
            <w:pPr>
              <w:pStyle w:val="ConsPlusNormal"/>
            </w:pPr>
          </w:p>
        </w:tc>
        <w:tc>
          <w:tcPr>
            <w:tcW w:w="1531" w:type="dxa"/>
            <w:tcBorders>
              <w:top w:val="nil"/>
              <w:left w:val="nil"/>
              <w:bottom w:val="nil"/>
              <w:right w:val="single" w:sz="4" w:space="0" w:color="auto"/>
            </w:tcBorders>
            <w:vAlign w:val="bottom"/>
          </w:tcPr>
          <w:p w:rsidR="000D3321" w:rsidRDefault="000D3321">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r w:rsidR="000D3321">
        <w:tblPrEx>
          <w:tblBorders>
            <w:insideV w:val="none" w:sz="0" w:space="0" w:color="auto"/>
          </w:tblBorders>
        </w:tblPrEx>
        <w:tc>
          <w:tcPr>
            <w:tcW w:w="6180" w:type="dxa"/>
            <w:gridSpan w:val="2"/>
            <w:tcBorders>
              <w:top w:val="nil"/>
              <w:left w:val="nil"/>
              <w:bottom w:val="nil"/>
              <w:right w:val="nil"/>
            </w:tcBorders>
          </w:tcPr>
          <w:p w:rsidR="000D3321" w:rsidRDefault="000D3321">
            <w:pPr>
              <w:pStyle w:val="ConsPlusNormal"/>
            </w:pPr>
          </w:p>
        </w:tc>
        <w:tc>
          <w:tcPr>
            <w:tcW w:w="1531" w:type="dxa"/>
            <w:tcBorders>
              <w:top w:val="nil"/>
              <w:left w:val="nil"/>
              <w:bottom w:val="nil"/>
              <w:right w:val="single" w:sz="4" w:space="0" w:color="auto"/>
            </w:tcBorders>
          </w:tcPr>
          <w:p w:rsidR="000D3321" w:rsidRDefault="000D3321">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r w:rsidR="000D3321">
        <w:tblPrEx>
          <w:tblBorders>
            <w:insideV w:val="none" w:sz="0" w:space="0" w:color="auto"/>
          </w:tblBorders>
        </w:tblPrEx>
        <w:tc>
          <w:tcPr>
            <w:tcW w:w="6180" w:type="dxa"/>
            <w:gridSpan w:val="2"/>
            <w:tcBorders>
              <w:top w:val="nil"/>
              <w:left w:val="nil"/>
              <w:bottom w:val="nil"/>
              <w:right w:val="nil"/>
            </w:tcBorders>
          </w:tcPr>
          <w:p w:rsidR="000D3321" w:rsidRDefault="000D3321">
            <w:pPr>
              <w:pStyle w:val="ConsPlusNormal"/>
            </w:pPr>
          </w:p>
        </w:tc>
        <w:tc>
          <w:tcPr>
            <w:tcW w:w="1531" w:type="dxa"/>
            <w:tcBorders>
              <w:top w:val="nil"/>
              <w:left w:val="nil"/>
              <w:bottom w:val="nil"/>
              <w:right w:val="single" w:sz="4" w:space="0" w:color="auto"/>
            </w:tcBorders>
            <w:vAlign w:val="bottom"/>
          </w:tcPr>
          <w:p w:rsidR="000D3321" w:rsidRDefault="000D3321">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r w:rsidR="000D3321">
        <w:tblPrEx>
          <w:tblBorders>
            <w:insideV w:val="none" w:sz="0" w:space="0" w:color="auto"/>
          </w:tblBorders>
        </w:tblPrEx>
        <w:tc>
          <w:tcPr>
            <w:tcW w:w="6180" w:type="dxa"/>
            <w:gridSpan w:val="2"/>
            <w:tcBorders>
              <w:top w:val="nil"/>
              <w:left w:val="nil"/>
              <w:bottom w:val="nil"/>
              <w:right w:val="nil"/>
            </w:tcBorders>
          </w:tcPr>
          <w:p w:rsidR="000D3321" w:rsidRDefault="000D3321">
            <w:pPr>
              <w:pStyle w:val="ConsPlusNormal"/>
            </w:pPr>
          </w:p>
        </w:tc>
        <w:tc>
          <w:tcPr>
            <w:tcW w:w="1531" w:type="dxa"/>
            <w:tcBorders>
              <w:top w:val="nil"/>
              <w:left w:val="nil"/>
              <w:bottom w:val="nil"/>
              <w:right w:val="single" w:sz="4" w:space="0" w:color="auto"/>
            </w:tcBorders>
          </w:tcPr>
          <w:p w:rsidR="000D3321" w:rsidRDefault="000D3321">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0D3321" w:rsidRDefault="000D3321">
            <w:pPr>
              <w:pStyle w:val="ConsPlusNormal"/>
            </w:pPr>
          </w:p>
        </w:tc>
      </w:tr>
    </w:tbl>
    <w:p w:rsidR="000D3321" w:rsidRDefault="000D33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0D3321">
        <w:tc>
          <w:tcPr>
            <w:tcW w:w="9014" w:type="dxa"/>
            <w:tcBorders>
              <w:top w:val="nil"/>
              <w:left w:val="nil"/>
              <w:bottom w:val="nil"/>
              <w:right w:val="nil"/>
            </w:tcBorders>
            <w:vAlign w:val="bottom"/>
          </w:tcPr>
          <w:p w:rsidR="000D3321" w:rsidRDefault="000D3321">
            <w:pPr>
              <w:pStyle w:val="ConsPlusNormal"/>
              <w:jc w:val="center"/>
              <w:outlineLvl w:val="2"/>
            </w:pPr>
            <w:bookmarkStart w:id="10" w:name="P292"/>
            <w:bookmarkEnd w:id="10"/>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0D3321" w:rsidRDefault="000D332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474"/>
        <w:gridCol w:w="1814"/>
        <w:gridCol w:w="1982"/>
        <w:gridCol w:w="2707"/>
      </w:tblGrid>
      <w:tr w:rsidR="000D3321">
        <w:tc>
          <w:tcPr>
            <w:tcW w:w="1056" w:type="dxa"/>
            <w:tcBorders>
              <w:left w:val="nil"/>
            </w:tcBorders>
          </w:tcPr>
          <w:p w:rsidR="000D3321" w:rsidRDefault="000D3321">
            <w:pPr>
              <w:pStyle w:val="ConsPlusNormal"/>
              <w:jc w:val="center"/>
            </w:pPr>
            <w:r>
              <w:t>Право подписи</w:t>
            </w:r>
          </w:p>
        </w:tc>
        <w:tc>
          <w:tcPr>
            <w:tcW w:w="1474" w:type="dxa"/>
          </w:tcPr>
          <w:p w:rsidR="000D3321" w:rsidRDefault="000D3321">
            <w:pPr>
              <w:pStyle w:val="ConsPlusNormal"/>
              <w:jc w:val="center"/>
            </w:pPr>
            <w:r>
              <w:t>Должность</w:t>
            </w:r>
          </w:p>
        </w:tc>
        <w:tc>
          <w:tcPr>
            <w:tcW w:w="1814" w:type="dxa"/>
          </w:tcPr>
          <w:p w:rsidR="000D3321" w:rsidRDefault="000D3321">
            <w:pPr>
              <w:pStyle w:val="ConsPlusNormal"/>
              <w:jc w:val="center"/>
            </w:pPr>
            <w:r>
              <w:t>Фамилия, имя, отчество</w:t>
            </w:r>
          </w:p>
        </w:tc>
        <w:tc>
          <w:tcPr>
            <w:tcW w:w="1982" w:type="dxa"/>
          </w:tcPr>
          <w:p w:rsidR="000D3321" w:rsidRDefault="000D3321">
            <w:pPr>
              <w:pStyle w:val="ConsPlusNormal"/>
              <w:jc w:val="center"/>
            </w:pPr>
            <w:r>
              <w:t>Образец подписи</w:t>
            </w:r>
          </w:p>
        </w:tc>
        <w:tc>
          <w:tcPr>
            <w:tcW w:w="2707" w:type="dxa"/>
            <w:tcBorders>
              <w:right w:val="nil"/>
            </w:tcBorders>
          </w:tcPr>
          <w:p w:rsidR="000D3321" w:rsidRDefault="000D3321">
            <w:pPr>
              <w:pStyle w:val="ConsPlusNormal"/>
              <w:jc w:val="center"/>
            </w:pPr>
            <w:r>
              <w:t>Срок полномочий лиц, временно пользующихся правом подписи</w:t>
            </w:r>
          </w:p>
        </w:tc>
      </w:tr>
      <w:tr w:rsidR="000D3321">
        <w:tc>
          <w:tcPr>
            <w:tcW w:w="1056" w:type="dxa"/>
            <w:tcBorders>
              <w:left w:val="nil"/>
            </w:tcBorders>
          </w:tcPr>
          <w:p w:rsidR="000D3321" w:rsidRDefault="000D3321">
            <w:pPr>
              <w:pStyle w:val="ConsPlusNormal"/>
              <w:jc w:val="center"/>
            </w:pPr>
            <w:r>
              <w:t>1</w:t>
            </w:r>
          </w:p>
        </w:tc>
        <w:tc>
          <w:tcPr>
            <w:tcW w:w="1474" w:type="dxa"/>
          </w:tcPr>
          <w:p w:rsidR="000D3321" w:rsidRDefault="000D3321">
            <w:pPr>
              <w:pStyle w:val="ConsPlusNormal"/>
              <w:jc w:val="center"/>
            </w:pPr>
            <w:bookmarkStart w:id="11" w:name="P300"/>
            <w:bookmarkEnd w:id="11"/>
            <w:r>
              <w:t>2</w:t>
            </w:r>
          </w:p>
        </w:tc>
        <w:tc>
          <w:tcPr>
            <w:tcW w:w="1814" w:type="dxa"/>
          </w:tcPr>
          <w:p w:rsidR="000D3321" w:rsidRDefault="000D3321">
            <w:pPr>
              <w:pStyle w:val="ConsPlusNormal"/>
              <w:jc w:val="center"/>
            </w:pPr>
            <w:bookmarkStart w:id="12" w:name="P301"/>
            <w:bookmarkEnd w:id="12"/>
            <w:r>
              <w:t>3</w:t>
            </w:r>
          </w:p>
        </w:tc>
        <w:tc>
          <w:tcPr>
            <w:tcW w:w="1982" w:type="dxa"/>
          </w:tcPr>
          <w:p w:rsidR="000D3321" w:rsidRDefault="000D3321">
            <w:pPr>
              <w:pStyle w:val="ConsPlusNormal"/>
              <w:jc w:val="center"/>
            </w:pPr>
            <w:bookmarkStart w:id="13" w:name="P302"/>
            <w:bookmarkEnd w:id="13"/>
            <w:r>
              <w:t>4</w:t>
            </w:r>
          </w:p>
        </w:tc>
        <w:tc>
          <w:tcPr>
            <w:tcW w:w="2707" w:type="dxa"/>
            <w:tcBorders>
              <w:right w:val="nil"/>
            </w:tcBorders>
          </w:tcPr>
          <w:p w:rsidR="000D3321" w:rsidRDefault="000D3321">
            <w:pPr>
              <w:pStyle w:val="ConsPlusNormal"/>
              <w:jc w:val="center"/>
            </w:pPr>
            <w:bookmarkStart w:id="14" w:name="P303"/>
            <w:bookmarkEnd w:id="14"/>
            <w:r>
              <w:t>5</w:t>
            </w:r>
          </w:p>
        </w:tc>
      </w:tr>
      <w:tr w:rsidR="000D3321">
        <w:tc>
          <w:tcPr>
            <w:tcW w:w="1056" w:type="dxa"/>
            <w:vMerge w:val="restart"/>
            <w:tcBorders>
              <w:left w:val="nil"/>
            </w:tcBorders>
            <w:vAlign w:val="center"/>
          </w:tcPr>
          <w:p w:rsidR="000D3321" w:rsidRDefault="000D3321">
            <w:pPr>
              <w:pStyle w:val="ConsPlusNormal"/>
              <w:jc w:val="center"/>
            </w:pPr>
            <w:r>
              <w:t>первой</w:t>
            </w:r>
          </w:p>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r w:rsidR="000D3321">
        <w:tblPrEx>
          <w:tblBorders>
            <w:left w:val="single" w:sz="4" w:space="0" w:color="auto"/>
          </w:tblBorders>
        </w:tblPrEx>
        <w:tc>
          <w:tcPr>
            <w:tcW w:w="1056" w:type="dxa"/>
            <w:vMerge/>
            <w:tcBorders>
              <w:left w:val="nil"/>
            </w:tcBorders>
          </w:tcPr>
          <w:p w:rsidR="000D3321" w:rsidRDefault="000D3321"/>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r w:rsidR="000D3321">
        <w:tblPrEx>
          <w:tblBorders>
            <w:left w:val="single" w:sz="4" w:space="0" w:color="auto"/>
          </w:tblBorders>
        </w:tblPrEx>
        <w:tc>
          <w:tcPr>
            <w:tcW w:w="1056" w:type="dxa"/>
            <w:vMerge/>
            <w:tcBorders>
              <w:left w:val="nil"/>
            </w:tcBorders>
          </w:tcPr>
          <w:p w:rsidR="000D3321" w:rsidRDefault="000D3321"/>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r w:rsidR="000D3321">
        <w:tc>
          <w:tcPr>
            <w:tcW w:w="1056" w:type="dxa"/>
            <w:vMerge w:val="restart"/>
            <w:tcBorders>
              <w:left w:val="nil"/>
            </w:tcBorders>
            <w:vAlign w:val="center"/>
          </w:tcPr>
          <w:p w:rsidR="000D3321" w:rsidRDefault="000D3321">
            <w:pPr>
              <w:pStyle w:val="ConsPlusNormal"/>
              <w:jc w:val="center"/>
            </w:pPr>
            <w:r>
              <w:t>второй</w:t>
            </w:r>
          </w:p>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r w:rsidR="000D3321">
        <w:tblPrEx>
          <w:tblBorders>
            <w:left w:val="single" w:sz="4" w:space="0" w:color="auto"/>
          </w:tblBorders>
        </w:tblPrEx>
        <w:tc>
          <w:tcPr>
            <w:tcW w:w="1056" w:type="dxa"/>
            <w:vMerge/>
            <w:tcBorders>
              <w:left w:val="nil"/>
            </w:tcBorders>
          </w:tcPr>
          <w:p w:rsidR="000D3321" w:rsidRDefault="000D3321"/>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r w:rsidR="000D3321">
        <w:tblPrEx>
          <w:tblBorders>
            <w:left w:val="single" w:sz="4" w:space="0" w:color="auto"/>
          </w:tblBorders>
        </w:tblPrEx>
        <w:tc>
          <w:tcPr>
            <w:tcW w:w="1056" w:type="dxa"/>
            <w:vMerge/>
            <w:tcBorders>
              <w:left w:val="nil"/>
            </w:tcBorders>
          </w:tcPr>
          <w:p w:rsidR="000D3321" w:rsidRDefault="000D3321"/>
        </w:tc>
        <w:tc>
          <w:tcPr>
            <w:tcW w:w="1474" w:type="dxa"/>
          </w:tcPr>
          <w:p w:rsidR="000D3321" w:rsidRDefault="000D3321">
            <w:pPr>
              <w:pStyle w:val="ConsPlusNormal"/>
            </w:pPr>
          </w:p>
        </w:tc>
        <w:tc>
          <w:tcPr>
            <w:tcW w:w="1814" w:type="dxa"/>
          </w:tcPr>
          <w:p w:rsidR="000D3321" w:rsidRDefault="000D3321">
            <w:pPr>
              <w:pStyle w:val="ConsPlusNormal"/>
            </w:pPr>
          </w:p>
        </w:tc>
        <w:tc>
          <w:tcPr>
            <w:tcW w:w="1982" w:type="dxa"/>
          </w:tcPr>
          <w:p w:rsidR="000D3321" w:rsidRDefault="000D3321">
            <w:pPr>
              <w:pStyle w:val="ConsPlusNormal"/>
            </w:pPr>
          </w:p>
        </w:tc>
        <w:tc>
          <w:tcPr>
            <w:tcW w:w="2707" w:type="dxa"/>
            <w:tcBorders>
              <w:right w:val="nil"/>
            </w:tcBorders>
          </w:tcPr>
          <w:p w:rsidR="000D3321" w:rsidRDefault="000D3321">
            <w:pPr>
              <w:pStyle w:val="ConsPlusNormal"/>
            </w:pPr>
          </w:p>
        </w:tc>
      </w:tr>
    </w:tbl>
    <w:p w:rsidR="000D3321" w:rsidRDefault="000D33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0"/>
        <w:gridCol w:w="340"/>
        <w:gridCol w:w="1474"/>
        <w:gridCol w:w="340"/>
        <w:gridCol w:w="1229"/>
        <w:gridCol w:w="340"/>
        <w:gridCol w:w="2154"/>
      </w:tblGrid>
      <w:tr w:rsidR="000D3321">
        <w:tc>
          <w:tcPr>
            <w:tcW w:w="3130" w:type="dxa"/>
            <w:tcBorders>
              <w:top w:val="nil"/>
              <w:left w:val="nil"/>
              <w:bottom w:val="nil"/>
              <w:right w:val="nil"/>
            </w:tcBorders>
            <w:vAlign w:val="bottom"/>
          </w:tcPr>
          <w:p w:rsidR="000D3321" w:rsidRDefault="000D3321">
            <w:pPr>
              <w:pStyle w:val="ConsPlusNormal"/>
            </w:pPr>
            <w:r>
              <w:t>Руководитель клиента</w:t>
            </w:r>
          </w:p>
          <w:p w:rsidR="000D3321" w:rsidRDefault="000D3321">
            <w:pPr>
              <w:pStyle w:val="ConsPlusNormal"/>
            </w:pPr>
            <w:r>
              <w:t>(уполномоченное лицо)</w:t>
            </w:r>
          </w:p>
        </w:tc>
        <w:tc>
          <w:tcPr>
            <w:tcW w:w="340" w:type="dxa"/>
            <w:tcBorders>
              <w:top w:val="nil"/>
              <w:left w:val="nil"/>
              <w:bottom w:val="nil"/>
              <w:right w:val="nil"/>
            </w:tcBorders>
          </w:tcPr>
          <w:p w:rsidR="000D3321" w:rsidRDefault="000D3321">
            <w:pPr>
              <w:pStyle w:val="ConsPlusNormal"/>
            </w:pPr>
          </w:p>
        </w:tc>
        <w:tc>
          <w:tcPr>
            <w:tcW w:w="1474" w:type="dxa"/>
            <w:tcBorders>
              <w:top w:val="nil"/>
              <w:left w:val="nil"/>
              <w:bottom w:val="single" w:sz="4" w:space="0" w:color="auto"/>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229" w:type="dxa"/>
            <w:tcBorders>
              <w:top w:val="nil"/>
              <w:left w:val="nil"/>
              <w:bottom w:val="single" w:sz="4" w:space="0" w:color="auto"/>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2154" w:type="dxa"/>
            <w:tcBorders>
              <w:top w:val="nil"/>
              <w:left w:val="nil"/>
              <w:bottom w:val="single" w:sz="4" w:space="0" w:color="auto"/>
              <w:right w:val="nil"/>
            </w:tcBorders>
          </w:tcPr>
          <w:p w:rsidR="000D3321" w:rsidRDefault="000D3321">
            <w:pPr>
              <w:pStyle w:val="ConsPlusNormal"/>
            </w:pPr>
          </w:p>
        </w:tc>
      </w:tr>
      <w:tr w:rsidR="000D3321">
        <w:tc>
          <w:tcPr>
            <w:tcW w:w="3130" w:type="dxa"/>
            <w:tcBorders>
              <w:top w:val="nil"/>
              <w:left w:val="nil"/>
              <w:bottom w:val="nil"/>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474" w:type="dxa"/>
            <w:tcBorders>
              <w:top w:val="single" w:sz="4" w:space="0" w:color="auto"/>
              <w:left w:val="nil"/>
              <w:bottom w:val="nil"/>
              <w:right w:val="nil"/>
            </w:tcBorders>
          </w:tcPr>
          <w:p w:rsidR="000D3321" w:rsidRDefault="000D3321">
            <w:pPr>
              <w:pStyle w:val="ConsPlusNormal"/>
              <w:jc w:val="center"/>
            </w:pPr>
            <w:r>
              <w:t>(должность)</w:t>
            </w:r>
          </w:p>
        </w:tc>
        <w:tc>
          <w:tcPr>
            <w:tcW w:w="340" w:type="dxa"/>
            <w:tcBorders>
              <w:top w:val="nil"/>
              <w:left w:val="nil"/>
              <w:bottom w:val="nil"/>
              <w:right w:val="nil"/>
            </w:tcBorders>
          </w:tcPr>
          <w:p w:rsidR="000D3321" w:rsidRDefault="000D3321">
            <w:pPr>
              <w:pStyle w:val="ConsPlusNormal"/>
            </w:pPr>
          </w:p>
        </w:tc>
        <w:tc>
          <w:tcPr>
            <w:tcW w:w="1229" w:type="dxa"/>
            <w:tcBorders>
              <w:top w:val="single" w:sz="4" w:space="0" w:color="auto"/>
              <w:left w:val="nil"/>
              <w:bottom w:val="nil"/>
              <w:right w:val="nil"/>
            </w:tcBorders>
          </w:tcPr>
          <w:p w:rsidR="000D3321" w:rsidRDefault="000D3321">
            <w:pPr>
              <w:pStyle w:val="ConsPlusNormal"/>
              <w:jc w:val="center"/>
            </w:pPr>
            <w:r>
              <w:t>(подпись)</w:t>
            </w:r>
          </w:p>
        </w:tc>
        <w:tc>
          <w:tcPr>
            <w:tcW w:w="340" w:type="dxa"/>
            <w:tcBorders>
              <w:top w:val="nil"/>
              <w:left w:val="nil"/>
              <w:bottom w:val="nil"/>
              <w:right w:val="nil"/>
            </w:tcBorders>
          </w:tcPr>
          <w:p w:rsidR="000D3321" w:rsidRDefault="000D3321">
            <w:pPr>
              <w:pStyle w:val="ConsPlusNormal"/>
            </w:pPr>
          </w:p>
        </w:tc>
        <w:tc>
          <w:tcPr>
            <w:tcW w:w="2154" w:type="dxa"/>
            <w:tcBorders>
              <w:top w:val="single" w:sz="4" w:space="0" w:color="auto"/>
              <w:left w:val="nil"/>
              <w:bottom w:val="nil"/>
              <w:right w:val="nil"/>
            </w:tcBorders>
          </w:tcPr>
          <w:p w:rsidR="000D3321" w:rsidRDefault="000D3321">
            <w:pPr>
              <w:pStyle w:val="ConsPlusNormal"/>
              <w:jc w:val="center"/>
            </w:pPr>
            <w:r>
              <w:t>(расшифровка подписи)</w:t>
            </w:r>
          </w:p>
        </w:tc>
      </w:tr>
      <w:tr w:rsidR="000D3321">
        <w:tc>
          <w:tcPr>
            <w:tcW w:w="3130" w:type="dxa"/>
            <w:tcBorders>
              <w:top w:val="nil"/>
              <w:left w:val="nil"/>
              <w:bottom w:val="nil"/>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474" w:type="dxa"/>
            <w:tcBorders>
              <w:top w:val="nil"/>
              <w:left w:val="nil"/>
              <w:bottom w:val="nil"/>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229" w:type="dxa"/>
            <w:tcBorders>
              <w:top w:val="nil"/>
              <w:left w:val="nil"/>
              <w:bottom w:val="nil"/>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2154" w:type="dxa"/>
            <w:tcBorders>
              <w:top w:val="nil"/>
              <w:left w:val="nil"/>
              <w:bottom w:val="nil"/>
              <w:right w:val="nil"/>
            </w:tcBorders>
          </w:tcPr>
          <w:p w:rsidR="000D3321" w:rsidRDefault="000D3321">
            <w:pPr>
              <w:pStyle w:val="ConsPlusNormal"/>
            </w:pPr>
            <w:r>
              <w:t>М.П.</w:t>
            </w:r>
          </w:p>
        </w:tc>
      </w:tr>
      <w:tr w:rsidR="000D3321">
        <w:tc>
          <w:tcPr>
            <w:tcW w:w="3130" w:type="dxa"/>
            <w:tcBorders>
              <w:top w:val="nil"/>
              <w:left w:val="nil"/>
              <w:bottom w:val="nil"/>
              <w:right w:val="nil"/>
            </w:tcBorders>
            <w:vAlign w:val="bottom"/>
          </w:tcPr>
          <w:p w:rsidR="000D3321" w:rsidRDefault="000D3321">
            <w:pPr>
              <w:pStyle w:val="ConsPlusNormal"/>
            </w:pPr>
            <w:r>
              <w:t>Главный бухгалтер клиента</w:t>
            </w:r>
          </w:p>
          <w:p w:rsidR="000D3321" w:rsidRDefault="000D3321">
            <w:pPr>
              <w:pStyle w:val="ConsPlusNormal"/>
            </w:pPr>
            <w:r>
              <w:t>(уполномоченное лицо)</w:t>
            </w:r>
          </w:p>
        </w:tc>
        <w:tc>
          <w:tcPr>
            <w:tcW w:w="340" w:type="dxa"/>
            <w:tcBorders>
              <w:top w:val="nil"/>
              <w:left w:val="nil"/>
              <w:bottom w:val="nil"/>
              <w:right w:val="nil"/>
            </w:tcBorders>
          </w:tcPr>
          <w:p w:rsidR="000D3321" w:rsidRDefault="000D3321">
            <w:pPr>
              <w:pStyle w:val="ConsPlusNormal"/>
            </w:pPr>
          </w:p>
        </w:tc>
        <w:tc>
          <w:tcPr>
            <w:tcW w:w="1474" w:type="dxa"/>
            <w:tcBorders>
              <w:top w:val="nil"/>
              <w:left w:val="nil"/>
              <w:bottom w:val="single" w:sz="4" w:space="0" w:color="auto"/>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229" w:type="dxa"/>
            <w:tcBorders>
              <w:top w:val="nil"/>
              <w:left w:val="nil"/>
              <w:bottom w:val="single" w:sz="4" w:space="0" w:color="auto"/>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2154" w:type="dxa"/>
            <w:tcBorders>
              <w:top w:val="nil"/>
              <w:left w:val="nil"/>
              <w:bottom w:val="single" w:sz="4" w:space="0" w:color="auto"/>
              <w:right w:val="nil"/>
            </w:tcBorders>
          </w:tcPr>
          <w:p w:rsidR="000D3321" w:rsidRDefault="000D3321">
            <w:pPr>
              <w:pStyle w:val="ConsPlusNormal"/>
            </w:pPr>
          </w:p>
        </w:tc>
      </w:tr>
      <w:tr w:rsidR="000D3321">
        <w:tc>
          <w:tcPr>
            <w:tcW w:w="3130" w:type="dxa"/>
            <w:tcBorders>
              <w:top w:val="nil"/>
              <w:left w:val="nil"/>
              <w:bottom w:val="nil"/>
              <w:right w:val="nil"/>
            </w:tcBorders>
          </w:tcPr>
          <w:p w:rsidR="000D3321" w:rsidRDefault="000D3321">
            <w:pPr>
              <w:pStyle w:val="ConsPlusNormal"/>
            </w:pPr>
          </w:p>
        </w:tc>
        <w:tc>
          <w:tcPr>
            <w:tcW w:w="340" w:type="dxa"/>
            <w:tcBorders>
              <w:top w:val="nil"/>
              <w:left w:val="nil"/>
              <w:bottom w:val="nil"/>
              <w:right w:val="nil"/>
            </w:tcBorders>
          </w:tcPr>
          <w:p w:rsidR="000D3321" w:rsidRDefault="000D3321">
            <w:pPr>
              <w:pStyle w:val="ConsPlusNormal"/>
            </w:pPr>
          </w:p>
        </w:tc>
        <w:tc>
          <w:tcPr>
            <w:tcW w:w="1474" w:type="dxa"/>
            <w:tcBorders>
              <w:top w:val="single" w:sz="4" w:space="0" w:color="auto"/>
              <w:left w:val="nil"/>
              <w:bottom w:val="nil"/>
              <w:right w:val="nil"/>
            </w:tcBorders>
          </w:tcPr>
          <w:p w:rsidR="000D3321" w:rsidRDefault="000D3321">
            <w:pPr>
              <w:pStyle w:val="ConsPlusNormal"/>
              <w:jc w:val="center"/>
            </w:pPr>
            <w:r>
              <w:t>(должность)</w:t>
            </w:r>
          </w:p>
        </w:tc>
        <w:tc>
          <w:tcPr>
            <w:tcW w:w="340" w:type="dxa"/>
            <w:tcBorders>
              <w:top w:val="nil"/>
              <w:left w:val="nil"/>
              <w:bottom w:val="nil"/>
              <w:right w:val="nil"/>
            </w:tcBorders>
          </w:tcPr>
          <w:p w:rsidR="000D3321" w:rsidRDefault="000D3321">
            <w:pPr>
              <w:pStyle w:val="ConsPlusNormal"/>
            </w:pPr>
          </w:p>
        </w:tc>
        <w:tc>
          <w:tcPr>
            <w:tcW w:w="1229" w:type="dxa"/>
            <w:tcBorders>
              <w:top w:val="single" w:sz="4" w:space="0" w:color="auto"/>
              <w:left w:val="nil"/>
              <w:bottom w:val="nil"/>
              <w:right w:val="nil"/>
            </w:tcBorders>
          </w:tcPr>
          <w:p w:rsidR="000D3321" w:rsidRDefault="000D3321">
            <w:pPr>
              <w:pStyle w:val="ConsPlusNormal"/>
              <w:jc w:val="center"/>
            </w:pPr>
            <w:r>
              <w:t>(подпись)</w:t>
            </w:r>
          </w:p>
        </w:tc>
        <w:tc>
          <w:tcPr>
            <w:tcW w:w="340" w:type="dxa"/>
            <w:tcBorders>
              <w:top w:val="nil"/>
              <w:left w:val="nil"/>
              <w:bottom w:val="nil"/>
              <w:right w:val="nil"/>
            </w:tcBorders>
          </w:tcPr>
          <w:p w:rsidR="000D3321" w:rsidRDefault="000D3321">
            <w:pPr>
              <w:pStyle w:val="ConsPlusNormal"/>
            </w:pPr>
          </w:p>
        </w:tc>
        <w:tc>
          <w:tcPr>
            <w:tcW w:w="2154" w:type="dxa"/>
            <w:tcBorders>
              <w:top w:val="single" w:sz="4" w:space="0" w:color="auto"/>
              <w:left w:val="nil"/>
              <w:bottom w:val="nil"/>
              <w:right w:val="nil"/>
            </w:tcBorders>
          </w:tcPr>
          <w:p w:rsidR="000D3321" w:rsidRDefault="000D3321">
            <w:pPr>
              <w:pStyle w:val="ConsPlusNormal"/>
              <w:jc w:val="center"/>
            </w:pPr>
            <w:r>
              <w:t>(расшифровка подписи)</w:t>
            </w:r>
          </w:p>
        </w:tc>
      </w:tr>
    </w:tbl>
    <w:p w:rsidR="000D3321" w:rsidRDefault="000D33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6"/>
      </w:tblGrid>
      <w:tr w:rsidR="000D3321">
        <w:tc>
          <w:tcPr>
            <w:tcW w:w="4306" w:type="dxa"/>
            <w:tcBorders>
              <w:top w:val="nil"/>
              <w:left w:val="nil"/>
              <w:bottom w:val="nil"/>
              <w:right w:val="nil"/>
            </w:tcBorders>
            <w:vAlign w:val="center"/>
          </w:tcPr>
          <w:p w:rsidR="000D3321" w:rsidRDefault="000D3321">
            <w:pPr>
              <w:pStyle w:val="ConsPlusNormal"/>
            </w:pPr>
            <w:r>
              <w:t>"__" ___________________ 20__ г.</w:t>
            </w:r>
          </w:p>
        </w:tc>
      </w:tr>
    </w:tbl>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right"/>
        <w:outlineLvl w:val="1"/>
      </w:pPr>
      <w:r>
        <w:t>Приложение N 3</w:t>
      </w:r>
    </w:p>
    <w:p w:rsidR="000D3321" w:rsidRDefault="000D3321">
      <w:pPr>
        <w:pStyle w:val="ConsPlusNormal"/>
        <w:jc w:val="right"/>
      </w:pPr>
      <w:r>
        <w:t>к Порядку открытия казначейских счетов</w:t>
      </w:r>
    </w:p>
    <w:p w:rsidR="000D3321" w:rsidRDefault="000D3321">
      <w:pPr>
        <w:pStyle w:val="ConsPlusNormal"/>
        <w:jc w:val="both"/>
      </w:pPr>
    </w:p>
    <w:p w:rsidR="000D3321" w:rsidRDefault="000D3321">
      <w:pPr>
        <w:pStyle w:val="ConsPlusTitle"/>
        <w:jc w:val="center"/>
      </w:pPr>
      <w:bookmarkStart w:id="15" w:name="P378"/>
      <w:bookmarkEnd w:id="15"/>
      <w:r>
        <w:t>РЕКВИЗИТЫ КНИГИ РЕГИСТРАЦИИ КАЗНАЧЕЙСКИХ СЧЕТОВ</w:t>
      </w:r>
    </w:p>
    <w:p w:rsidR="000D3321" w:rsidRDefault="000D33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0D3321">
        <w:tc>
          <w:tcPr>
            <w:tcW w:w="3326" w:type="dxa"/>
            <w:vAlign w:val="bottom"/>
          </w:tcPr>
          <w:p w:rsidR="000D3321" w:rsidRDefault="000D3321">
            <w:pPr>
              <w:pStyle w:val="ConsPlusNormal"/>
              <w:jc w:val="center"/>
            </w:pPr>
            <w:r>
              <w:t>Наименование реквизита</w:t>
            </w:r>
          </w:p>
        </w:tc>
        <w:tc>
          <w:tcPr>
            <w:tcW w:w="5669" w:type="dxa"/>
            <w:vAlign w:val="bottom"/>
          </w:tcPr>
          <w:p w:rsidR="000D3321" w:rsidRDefault="000D3321">
            <w:pPr>
              <w:pStyle w:val="ConsPlusNormal"/>
              <w:jc w:val="center"/>
            </w:pPr>
            <w:r>
              <w:t>Правила формирования, заполнения реквизита</w:t>
            </w:r>
          </w:p>
        </w:tc>
      </w:tr>
      <w:tr w:rsidR="000D3321">
        <w:tc>
          <w:tcPr>
            <w:tcW w:w="3326" w:type="dxa"/>
          </w:tcPr>
          <w:p w:rsidR="000D3321" w:rsidRDefault="000D3321">
            <w:pPr>
              <w:pStyle w:val="ConsPlusNormal"/>
            </w:pPr>
            <w:r>
              <w:t>1. Наименование клиента</w:t>
            </w:r>
          </w:p>
        </w:tc>
        <w:tc>
          <w:tcPr>
            <w:tcW w:w="5669" w:type="dxa"/>
          </w:tcPr>
          <w:p w:rsidR="000D3321" w:rsidRDefault="000D3321">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3321">
        <w:tc>
          <w:tcPr>
            <w:tcW w:w="3326" w:type="dxa"/>
          </w:tcPr>
          <w:p w:rsidR="000D3321" w:rsidRDefault="000D3321">
            <w:pPr>
              <w:pStyle w:val="ConsPlusNormal"/>
            </w:pPr>
            <w:r>
              <w:t>2. Код по Сводному реестру</w:t>
            </w:r>
          </w:p>
        </w:tc>
        <w:tc>
          <w:tcPr>
            <w:tcW w:w="5669" w:type="dxa"/>
          </w:tcPr>
          <w:p w:rsidR="000D3321" w:rsidRDefault="000D3321">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0D3321">
        <w:tc>
          <w:tcPr>
            <w:tcW w:w="3326" w:type="dxa"/>
          </w:tcPr>
          <w:p w:rsidR="000D3321" w:rsidRDefault="000D3321">
            <w:pPr>
              <w:pStyle w:val="ConsPlusNormal"/>
            </w:pPr>
            <w:r>
              <w:t>3. Код валюты</w:t>
            </w:r>
          </w:p>
        </w:tc>
        <w:tc>
          <w:tcPr>
            <w:tcW w:w="5669" w:type="dxa"/>
          </w:tcPr>
          <w:p w:rsidR="000D3321" w:rsidRDefault="000D3321">
            <w:pPr>
              <w:pStyle w:val="ConsPlusNormal"/>
            </w:pPr>
            <w:r>
              <w:t xml:space="preserve">Указывается код валюты по Общероссийскому </w:t>
            </w:r>
            <w:hyperlink r:id="rId23" w:history="1">
              <w:r>
                <w:rPr>
                  <w:color w:val="0000FF"/>
                </w:rPr>
                <w:t>классификатору</w:t>
              </w:r>
            </w:hyperlink>
            <w:r>
              <w:t xml:space="preserve"> валют</w:t>
            </w:r>
          </w:p>
        </w:tc>
      </w:tr>
      <w:tr w:rsidR="000D3321">
        <w:tc>
          <w:tcPr>
            <w:tcW w:w="3326" w:type="dxa"/>
          </w:tcPr>
          <w:p w:rsidR="000D3321" w:rsidRDefault="000D3321">
            <w:pPr>
              <w:pStyle w:val="ConsPlusNormal"/>
            </w:pPr>
            <w:r>
              <w:t>4. Номер казначейского счета</w:t>
            </w:r>
          </w:p>
        </w:tc>
        <w:tc>
          <w:tcPr>
            <w:tcW w:w="5669" w:type="dxa"/>
          </w:tcPr>
          <w:p w:rsidR="000D3321" w:rsidRDefault="000D3321">
            <w:pPr>
              <w:pStyle w:val="ConsPlusNormal"/>
            </w:pPr>
            <w:r>
              <w:t>Указывается номер казначейского счета</w:t>
            </w:r>
          </w:p>
        </w:tc>
      </w:tr>
      <w:tr w:rsidR="000D3321">
        <w:tc>
          <w:tcPr>
            <w:tcW w:w="3326" w:type="dxa"/>
          </w:tcPr>
          <w:p w:rsidR="000D3321" w:rsidRDefault="000D3321">
            <w:pPr>
              <w:pStyle w:val="ConsPlusNormal"/>
            </w:pPr>
            <w:r>
              <w:t>5. Дата открытия казначейского счета</w:t>
            </w:r>
          </w:p>
        </w:tc>
        <w:tc>
          <w:tcPr>
            <w:tcW w:w="5669" w:type="dxa"/>
          </w:tcPr>
          <w:p w:rsidR="000D3321" w:rsidRDefault="000D3321">
            <w:pPr>
              <w:pStyle w:val="ConsPlusNormal"/>
            </w:pPr>
            <w:r>
              <w:t>Указывается дата открытия казначейского счета в формате "день, месяц, год" (00.00.0000)</w:t>
            </w:r>
          </w:p>
        </w:tc>
      </w:tr>
      <w:tr w:rsidR="000D3321">
        <w:tc>
          <w:tcPr>
            <w:tcW w:w="3326" w:type="dxa"/>
          </w:tcPr>
          <w:p w:rsidR="000D3321" w:rsidRDefault="000D3321">
            <w:pPr>
              <w:pStyle w:val="ConsPlusNormal"/>
            </w:pPr>
            <w:r>
              <w:t>6. Дата изменения реквизитов казначейского счета</w:t>
            </w:r>
          </w:p>
        </w:tc>
        <w:tc>
          <w:tcPr>
            <w:tcW w:w="5669" w:type="dxa"/>
          </w:tcPr>
          <w:p w:rsidR="000D3321" w:rsidRDefault="000D3321">
            <w:pPr>
              <w:pStyle w:val="ConsPlusNormal"/>
            </w:pPr>
            <w:r>
              <w:t>Указывается дата изменения реквизитов казначейского счета в формате "день, месяц, год" (00.00.0000)</w:t>
            </w:r>
          </w:p>
        </w:tc>
      </w:tr>
      <w:tr w:rsidR="000D3321">
        <w:tc>
          <w:tcPr>
            <w:tcW w:w="3326" w:type="dxa"/>
          </w:tcPr>
          <w:p w:rsidR="000D3321" w:rsidRDefault="000D3321">
            <w:pPr>
              <w:pStyle w:val="ConsPlusNormal"/>
            </w:pPr>
            <w:r>
              <w:lastRenderedPageBreak/>
              <w:t>7. Дата закрытия казначейского счета</w:t>
            </w:r>
          </w:p>
        </w:tc>
        <w:tc>
          <w:tcPr>
            <w:tcW w:w="5669" w:type="dxa"/>
          </w:tcPr>
          <w:p w:rsidR="000D3321" w:rsidRDefault="000D3321">
            <w:pPr>
              <w:pStyle w:val="ConsPlusNormal"/>
            </w:pPr>
            <w:r>
              <w:t>Указывается дата закрытия казначейского счета в формате "день, месяц, год" (00.00.0000)</w:t>
            </w:r>
          </w:p>
        </w:tc>
      </w:tr>
      <w:tr w:rsidR="000D3321">
        <w:tc>
          <w:tcPr>
            <w:tcW w:w="3326" w:type="dxa"/>
          </w:tcPr>
          <w:p w:rsidR="000D3321" w:rsidRDefault="000D3321">
            <w:pPr>
              <w:pStyle w:val="ConsPlusNormal"/>
            </w:pPr>
            <w:r>
              <w:t>8. Примечание</w:t>
            </w:r>
          </w:p>
        </w:tc>
        <w:tc>
          <w:tcPr>
            <w:tcW w:w="5669" w:type="dxa"/>
          </w:tcPr>
          <w:p w:rsidR="000D3321" w:rsidRDefault="000D3321">
            <w:pPr>
              <w:pStyle w:val="ConsPlusNormal"/>
            </w:pPr>
            <w:r>
              <w:t xml:space="preserve">Указываются причины изменения реквизитов (закрытия) </w:t>
            </w:r>
            <w:proofErr w:type="gramStart"/>
            <w:r>
              <w:t>казначейского счета</w:t>
            </w:r>
            <w:proofErr w:type="gramEnd"/>
            <w:r>
              <w:t xml:space="preserve"> и иная необходимая информация о изменении реквизитов (закрытия) казначейского счета</w:t>
            </w:r>
          </w:p>
        </w:tc>
      </w:tr>
    </w:tbl>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both"/>
      </w:pPr>
    </w:p>
    <w:p w:rsidR="000D3321" w:rsidRDefault="000D3321">
      <w:pPr>
        <w:pStyle w:val="ConsPlusNormal"/>
        <w:jc w:val="right"/>
        <w:outlineLvl w:val="1"/>
      </w:pPr>
      <w:r>
        <w:t>Приложение N 4</w:t>
      </w:r>
    </w:p>
    <w:p w:rsidR="000D3321" w:rsidRDefault="000D3321">
      <w:pPr>
        <w:pStyle w:val="ConsPlusNormal"/>
        <w:jc w:val="right"/>
      </w:pPr>
      <w:r>
        <w:t>к Порядку открытия казначейских счетов</w:t>
      </w:r>
    </w:p>
    <w:p w:rsidR="000D3321" w:rsidRDefault="000D3321">
      <w:pPr>
        <w:pStyle w:val="ConsPlusNormal"/>
        <w:jc w:val="both"/>
      </w:pPr>
    </w:p>
    <w:p w:rsidR="000D3321" w:rsidRDefault="000D3321">
      <w:pPr>
        <w:pStyle w:val="ConsPlusTitle"/>
        <w:jc w:val="center"/>
      </w:pPr>
      <w:bookmarkStart w:id="16" w:name="P406"/>
      <w:bookmarkEnd w:id="16"/>
      <w:r>
        <w:t>РЕКВИЗИТЫ ЗАЯВЛЕНИЯ НА ЗАКРЫТИЕ КАЗНАЧЕЙСКОГО СЧЕТА</w:t>
      </w:r>
    </w:p>
    <w:p w:rsidR="000D3321" w:rsidRDefault="000D33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0D3321">
        <w:tc>
          <w:tcPr>
            <w:tcW w:w="3326" w:type="dxa"/>
          </w:tcPr>
          <w:p w:rsidR="000D3321" w:rsidRDefault="000D3321">
            <w:pPr>
              <w:pStyle w:val="ConsPlusNormal"/>
              <w:jc w:val="center"/>
            </w:pPr>
            <w:r>
              <w:t>Наименование реквизита</w:t>
            </w:r>
          </w:p>
        </w:tc>
        <w:tc>
          <w:tcPr>
            <w:tcW w:w="5669" w:type="dxa"/>
          </w:tcPr>
          <w:p w:rsidR="000D3321" w:rsidRDefault="000D3321">
            <w:pPr>
              <w:pStyle w:val="ConsPlusNormal"/>
              <w:jc w:val="center"/>
            </w:pPr>
            <w:r>
              <w:t>Правила формирования, заполнения реквизита</w:t>
            </w:r>
          </w:p>
        </w:tc>
      </w:tr>
      <w:tr w:rsidR="000D3321">
        <w:tc>
          <w:tcPr>
            <w:tcW w:w="3326" w:type="dxa"/>
          </w:tcPr>
          <w:p w:rsidR="000D3321" w:rsidRDefault="000D3321">
            <w:pPr>
              <w:pStyle w:val="ConsPlusNormal"/>
            </w:pPr>
            <w:r>
              <w:t>1. Наименование клиента</w:t>
            </w:r>
          </w:p>
        </w:tc>
        <w:tc>
          <w:tcPr>
            <w:tcW w:w="5669" w:type="dxa"/>
          </w:tcPr>
          <w:p w:rsidR="000D3321" w:rsidRDefault="000D3321">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3321">
        <w:tc>
          <w:tcPr>
            <w:tcW w:w="3326" w:type="dxa"/>
          </w:tcPr>
          <w:p w:rsidR="000D3321" w:rsidRDefault="000D3321">
            <w:pPr>
              <w:pStyle w:val="ConsPlusNormal"/>
            </w:pPr>
            <w:r>
              <w:t>2. ИНН</w:t>
            </w:r>
          </w:p>
        </w:tc>
        <w:tc>
          <w:tcPr>
            <w:tcW w:w="5669" w:type="dxa"/>
          </w:tcPr>
          <w:p w:rsidR="000D3321" w:rsidRDefault="000D3321">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326" w:type="dxa"/>
          </w:tcPr>
          <w:p w:rsidR="000D3321" w:rsidRDefault="000D3321">
            <w:pPr>
              <w:pStyle w:val="ConsPlusNormal"/>
            </w:pPr>
            <w:r>
              <w:t>3. КПП</w:t>
            </w:r>
          </w:p>
        </w:tc>
        <w:tc>
          <w:tcPr>
            <w:tcW w:w="5669" w:type="dxa"/>
          </w:tcPr>
          <w:p w:rsidR="000D3321" w:rsidRDefault="000D3321">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326" w:type="dxa"/>
          </w:tcPr>
          <w:p w:rsidR="000D3321" w:rsidRDefault="000D3321">
            <w:pPr>
              <w:pStyle w:val="ConsPlusNormal"/>
            </w:pPr>
            <w:r>
              <w:t>4. Код по Сводному реестру</w:t>
            </w:r>
          </w:p>
        </w:tc>
        <w:tc>
          <w:tcPr>
            <w:tcW w:w="5669" w:type="dxa"/>
          </w:tcPr>
          <w:p w:rsidR="000D3321" w:rsidRDefault="000D3321">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326" w:type="dxa"/>
          </w:tcPr>
          <w:p w:rsidR="000D3321" w:rsidRDefault="000D3321">
            <w:pPr>
              <w:pStyle w:val="ConsPlusNormal"/>
            </w:pPr>
            <w:r>
              <w:t>5. Код по ОКПО</w:t>
            </w:r>
          </w:p>
        </w:tc>
        <w:tc>
          <w:tcPr>
            <w:tcW w:w="5669" w:type="dxa"/>
          </w:tcPr>
          <w:p w:rsidR="000D3321" w:rsidRDefault="000D3321">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0D3321">
        <w:tc>
          <w:tcPr>
            <w:tcW w:w="3326" w:type="dxa"/>
          </w:tcPr>
          <w:p w:rsidR="000D3321" w:rsidRDefault="000D3321">
            <w:pPr>
              <w:pStyle w:val="ConsPlusNormal"/>
            </w:pPr>
            <w:r>
              <w:t xml:space="preserve">6. Код </w:t>
            </w:r>
            <w:hyperlink r:id="rId24" w:history="1">
              <w:r>
                <w:rPr>
                  <w:color w:val="0000FF"/>
                </w:rPr>
                <w:t>ОКТМО</w:t>
              </w:r>
            </w:hyperlink>
          </w:p>
        </w:tc>
        <w:tc>
          <w:tcPr>
            <w:tcW w:w="5669" w:type="dxa"/>
          </w:tcPr>
          <w:p w:rsidR="000D3321" w:rsidRDefault="000D3321">
            <w:pPr>
              <w:pStyle w:val="ConsPlusNormal"/>
            </w:pPr>
            <w:r>
              <w:t xml:space="preserve">Указывается код по Общероссийскому </w:t>
            </w:r>
            <w:hyperlink r:id="rId25" w:history="1">
              <w:r>
                <w:rPr>
                  <w:color w:val="0000FF"/>
                </w:rPr>
                <w:t>классификатору</w:t>
              </w:r>
            </w:hyperlink>
            <w:r>
              <w:t xml:space="preserve"> </w:t>
            </w:r>
            <w:r>
              <w:lastRenderedPageBreak/>
              <w:t>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3321">
        <w:tc>
          <w:tcPr>
            <w:tcW w:w="3326" w:type="dxa"/>
          </w:tcPr>
          <w:p w:rsidR="000D3321" w:rsidRDefault="000D3321">
            <w:pPr>
              <w:pStyle w:val="ConsPlusNormal"/>
            </w:pPr>
            <w:r>
              <w:lastRenderedPageBreak/>
              <w:t>7. Наименование закрываемого казначейского счета</w:t>
            </w:r>
          </w:p>
        </w:tc>
        <w:tc>
          <w:tcPr>
            <w:tcW w:w="5669" w:type="dxa"/>
          </w:tcPr>
          <w:p w:rsidR="000D3321" w:rsidRDefault="000D3321">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0D3321">
        <w:tc>
          <w:tcPr>
            <w:tcW w:w="3326" w:type="dxa"/>
          </w:tcPr>
          <w:p w:rsidR="000D3321" w:rsidRDefault="000D3321">
            <w:pPr>
              <w:pStyle w:val="ConsPlusNormal"/>
            </w:pPr>
            <w:r>
              <w:t>8. Номер закрываемого казначейского счета</w:t>
            </w:r>
          </w:p>
        </w:tc>
        <w:tc>
          <w:tcPr>
            <w:tcW w:w="5669" w:type="dxa"/>
          </w:tcPr>
          <w:p w:rsidR="000D3321" w:rsidRDefault="000D3321">
            <w:pPr>
              <w:pStyle w:val="ConsPlusNormal"/>
            </w:pPr>
            <w:r>
              <w:t>Указывается номер закрываемого казначейского счета</w:t>
            </w:r>
          </w:p>
        </w:tc>
      </w:tr>
      <w:tr w:rsidR="000D3321">
        <w:tc>
          <w:tcPr>
            <w:tcW w:w="3326" w:type="dxa"/>
          </w:tcPr>
          <w:p w:rsidR="000D3321" w:rsidRDefault="000D3321">
            <w:pPr>
              <w:pStyle w:val="ConsPlusNormal"/>
            </w:pPr>
            <w:r>
              <w:t>9. Код валюты</w:t>
            </w:r>
          </w:p>
        </w:tc>
        <w:tc>
          <w:tcPr>
            <w:tcW w:w="5669" w:type="dxa"/>
          </w:tcPr>
          <w:p w:rsidR="000D3321" w:rsidRDefault="000D3321">
            <w:pPr>
              <w:pStyle w:val="ConsPlusNormal"/>
            </w:pPr>
            <w:r>
              <w:t xml:space="preserve">Код валюты по Общероссийскому </w:t>
            </w:r>
            <w:hyperlink r:id="rId26" w:history="1">
              <w:r>
                <w:rPr>
                  <w:color w:val="0000FF"/>
                </w:rPr>
                <w:t>классификатору</w:t>
              </w:r>
            </w:hyperlink>
            <w:r>
              <w:t xml:space="preserve"> валют</w:t>
            </w:r>
          </w:p>
        </w:tc>
      </w:tr>
      <w:tr w:rsidR="000D3321">
        <w:tc>
          <w:tcPr>
            <w:tcW w:w="3326" w:type="dxa"/>
          </w:tcPr>
          <w:p w:rsidR="000D3321" w:rsidRDefault="000D3321">
            <w:pPr>
              <w:pStyle w:val="ConsPlusNormal"/>
            </w:pPr>
            <w:r>
              <w:t>10. Причина закрытия казначейского счета</w:t>
            </w:r>
          </w:p>
        </w:tc>
        <w:tc>
          <w:tcPr>
            <w:tcW w:w="5669" w:type="dxa"/>
          </w:tcPr>
          <w:p w:rsidR="000D3321" w:rsidRDefault="000D3321">
            <w:pPr>
              <w:pStyle w:val="ConsPlusNormal"/>
            </w:pPr>
            <w:r>
              <w:t>Указывается причина закрытия казначейского счета</w:t>
            </w:r>
          </w:p>
        </w:tc>
      </w:tr>
      <w:tr w:rsidR="000D3321">
        <w:tc>
          <w:tcPr>
            <w:tcW w:w="3326" w:type="dxa"/>
          </w:tcPr>
          <w:p w:rsidR="000D3321" w:rsidRDefault="000D3321">
            <w:pPr>
              <w:pStyle w:val="ConsPlusNormal"/>
            </w:pPr>
            <w:r>
              <w:t>11. Реквизиты для перечисления средств, поступивших после закрытия казначейского счета</w:t>
            </w:r>
          </w:p>
        </w:tc>
        <w:tc>
          <w:tcPr>
            <w:tcW w:w="5669" w:type="dxa"/>
          </w:tcPr>
          <w:p w:rsidR="000D3321" w:rsidRDefault="000D3321">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0D3321">
        <w:tc>
          <w:tcPr>
            <w:tcW w:w="3326" w:type="dxa"/>
          </w:tcPr>
          <w:p w:rsidR="000D3321" w:rsidRDefault="000D3321">
            <w:pPr>
              <w:pStyle w:val="ConsPlusNormal"/>
            </w:pPr>
            <w:r>
              <w:t>12. Руководитель клиента (уполномоченное лицо)</w:t>
            </w:r>
          </w:p>
        </w:tc>
        <w:tc>
          <w:tcPr>
            <w:tcW w:w="5669" w:type="dxa"/>
          </w:tcPr>
          <w:p w:rsidR="000D3321" w:rsidRDefault="000D3321">
            <w:pPr>
              <w:pStyle w:val="ConsPlusNormal"/>
            </w:pPr>
            <w:r>
              <w:t>Указываются фамилия, имя, отчество (полностью) руководителя (уполномоченного лица)</w:t>
            </w:r>
          </w:p>
        </w:tc>
      </w:tr>
      <w:tr w:rsidR="000D3321">
        <w:tc>
          <w:tcPr>
            <w:tcW w:w="3326" w:type="dxa"/>
          </w:tcPr>
          <w:p w:rsidR="000D3321" w:rsidRDefault="000D3321">
            <w:pPr>
              <w:pStyle w:val="ConsPlusNormal"/>
            </w:pPr>
            <w:r>
              <w:t>13. Главный бухгалтер клиента (уполномоченное лицо)</w:t>
            </w:r>
          </w:p>
        </w:tc>
        <w:tc>
          <w:tcPr>
            <w:tcW w:w="5669" w:type="dxa"/>
          </w:tcPr>
          <w:p w:rsidR="000D3321" w:rsidRDefault="000D3321">
            <w:pPr>
              <w:pStyle w:val="ConsPlusNormal"/>
            </w:pPr>
            <w:r>
              <w:t>Указываются фамилия, имя, отчество (полностью) главного бухгалтера (уполномоченного лица)</w:t>
            </w:r>
          </w:p>
        </w:tc>
      </w:tr>
    </w:tbl>
    <w:p w:rsidR="000D3321" w:rsidRDefault="000D3321">
      <w:pPr>
        <w:pStyle w:val="ConsPlusNormal"/>
        <w:jc w:val="both"/>
      </w:pPr>
    </w:p>
    <w:p w:rsidR="000D3321" w:rsidRDefault="000D3321">
      <w:pPr>
        <w:pStyle w:val="ConsPlusNormal"/>
        <w:jc w:val="both"/>
      </w:pPr>
    </w:p>
    <w:p w:rsidR="000D3321" w:rsidRDefault="000D3321">
      <w:pPr>
        <w:pStyle w:val="ConsPlusNormal"/>
        <w:pBdr>
          <w:top w:val="single" w:sz="6" w:space="0" w:color="auto"/>
        </w:pBdr>
        <w:spacing w:before="100" w:after="100"/>
        <w:jc w:val="both"/>
        <w:rPr>
          <w:sz w:val="2"/>
          <w:szCs w:val="2"/>
        </w:rPr>
      </w:pPr>
    </w:p>
    <w:p w:rsidR="003D7DF3" w:rsidRDefault="003D7DF3">
      <w:bookmarkStart w:id="17" w:name="_GoBack"/>
      <w:bookmarkEnd w:id="17"/>
    </w:p>
    <w:sectPr w:rsidR="003D7DF3" w:rsidSect="00DC40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21"/>
    <w:rsid w:val="000D3321"/>
    <w:rsid w:val="003D7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55148-4C4C-4A68-A640-00D32EDC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33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33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332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73F889E0F8CCDFA60B9ECB213078740AFB2B81D27E450F7D6D4DFBC54FA5174E27750306D1536CF2D3B15D77yEN4G" TargetMode="External"/><Relationship Id="rId13" Type="http://schemas.openxmlformats.org/officeDocument/2006/relationships/hyperlink" Target="consultantplus://offline/ref=4C73F889E0F8CCDFA60B9ECB2130787408FA2A80D67F450F7D6D4DFBC54FA5174E27750306D1536CF2D3B15D77yEN4G" TargetMode="External"/><Relationship Id="rId18" Type="http://schemas.openxmlformats.org/officeDocument/2006/relationships/hyperlink" Target="consultantplus://offline/ref=4C73F889E0F8CCDFA60B9ECB213078740AFF2589D178450F7D6D4DFBC54FA5175C272D0F04D84A68FEC6E70C31B1228C02A36442E417220Dy9N7G" TargetMode="External"/><Relationship Id="rId26" Type="http://schemas.openxmlformats.org/officeDocument/2006/relationships/hyperlink" Target="consultantplus://offline/ref=4C73F889E0F8CCDFA60B9ECB213078740AFA2B88D57E450F7D6D4DFBC54FA5174E27750306D1536CF2D3B15D77yEN4G" TargetMode="External"/><Relationship Id="rId3" Type="http://schemas.openxmlformats.org/officeDocument/2006/relationships/webSettings" Target="webSettings.xml"/><Relationship Id="rId21" Type="http://schemas.openxmlformats.org/officeDocument/2006/relationships/hyperlink" Target="consultantplus://offline/ref=4C73F889E0F8CCDFA60B9ECB2130787408FA2A80D67F450F7D6D4DFBC54FA5174E27750306D1536CF2D3B15D77yEN4G" TargetMode="External"/><Relationship Id="rId7" Type="http://schemas.openxmlformats.org/officeDocument/2006/relationships/hyperlink" Target="consultantplus://offline/ref=4C73F889E0F8CCDFA60B9ECB213078740AFB2B81D27E450F7D6D4DFBC54FA5174E27750306D1536CF2D3B15D77yEN4G" TargetMode="External"/><Relationship Id="rId12" Type="http://schemas.openxmlformats.org/officeDocument/2006/relationships/hyperlink" Target="consultantplus://offline/ref=4C73F889E0F8CCDFA60B9ECB2130787408FA2A80D67F450F7D6D4DFBC54FA5174E27750306D1536CF2D3B15D77yEN4G" TargetMode="External"/><Relationship Id="rId17" Type="http://schemas.openxmlformats.org/officeDocument/2006/relationships/hyperlink" Target="consultantplus://offline/ref=4C73F889E0F8CCDFA60B9ECB213078740AFC2B8FD57D450F7D6D4DFBC54FA5174E27750306D1536CF2D3B15D77yEN4G" TargetMode="External"/><Relationship Id="rId25" Type="http://schemas.openxmlformats.org/officeDocument/2006/relationships/hyperlink" Target="consultantplus://offline/ref=4C73F889E0F8CCDFA60B9ECB2130787408FA2A80D67F450F7D6D4DFBC54FA5174E27750306D1536CF2D3B15D77yEN4G" TargetMode="External"/><Relationship Id="rId2" Type="http://schemas.openxmlformats.org/officeDocument/2006/relationships/settings" Target="settings.xml"/><Relationship Id="rId16" Type="http://schemas.openxmlformats.org/officeDocument/2006/relationships/hyperlink" Target="consultantplus://offline/ref=4C73F889E0F8CCDFA60B9ECB2130787408FA2A80D67F450F7D6D4DFBC54FA5174E27750306D1536CF2D3B15D77yEN4G" TargetMode="External"/><Relationship Id="rId20" Type="http://schemas.openxmlformats.org/officeDocument/2006/relationships/hyperlink" Target="consultantplus://offline/ref=4C73F889E0F8CCDFA60B9ECB2130787408FA2A80D67F450F7D6D4DFBC54FA5174E27750306D1536CF2D3B15D77yEN4G" TargetMode="External"/><Relationship Id="rId1" Type="http://schemas.openxmlformats.org/officeDocument/2006/relationships/styles" Target="styles.xml"/><Relationship Id="rId6" Type="http://schemas.openxmlformats.org/officeDocument/2006/relationships/hyperlink" Target="consultantplus://offline/ref=4C73F889E0F8CCDFA60B9ECB213078740AFB2680D079450F7D6D4DFBC54FA5175C272D0805D14F67AF9CF70878E627900AB47A49FA17y2N2G" TargetMode="External"/><Relationship Id="rId11" Type="http://schemas.openxmlformats.org/officeDocument/2006/relationships/hyperlink" Target="consultantplus://offline/ref=4C73F889E0F8CCDFA60B9ECB2130787408FA2A80D67F450F7D6D4DFBC54FA5174E27750306D1536CF2D3B15D77yEN4G" TargetMode="External"/><Relationship Id="rId24" Type="http://schemas.openxmlformats.org/officeDocument/2006/relationships/hyperlink" Target="consultantplus://offline/ref=4C73F889E0F8CCDFA60B9ECB2130787408FA2A80D67F450F7D6D4DFBC54FA5174E27750306D1536CF2D3B15D77yEN4G" TargetMode="External"/><Relationship Id="rId5" Type="http://schemas.openxmlformats.org/officeDocument/2006/relationships/hyperlink" Target="consultantplus://offline/ref=4C73F889E0F8CCDFA60B9ECB213078740AFB2680D079450F7D6D4DFBC54FA5175C272D0805D14F67AF9CF70878E627900AB47A49FA17y2N2G" TargetMode="External"/><Relationship Id="rId15" Type="http://schemas.openxmlformats.org/officeDocument/2006/relationships/hyperlink" Target="consultantplus://offline/ref=4C73F889E0F8CCDFA60B9ECB2130787408FA2A80D67F450F7D6D4DFBC54FA5174E27750306D1536CF2D3B15D77yEN4G" TargetMode="External"/><Relationship Id="rId23" Type="http://schemas.openxmlformats.org/officeDocument/2006/relationships/hyperlink" Target="consultantplus://offline/ref=4C73F889E0F8CCDFA60B9ECB213078740AFA2B88D57E450F7D6D4DFBC54FA5174E27750306D1536CF2D3B15D77yEN4G" TargetMode="External"/><Relationship Id="rId28" Type="http://schemas.openxmlformats.org/officeDocument/2006/relationships/theme" Target="theme/theme1.xml"/><Relationship Id="rId10" Type="http://schemas.openxmlformats.org/officeDocument/2006/relationships/hyperlink" Target="consultantplus://offline/ref=4C73F889E0F8CCDFA60B9ECB2130787408FA2A80D67F450F7D6D4DFBC54FA5174E27750306D1536CF2D3B15D77yEN4G" TargetMode="External"/><Relationship Id="rId19" Type="http://schemas.openxmlformats.org/officeDocument/2006/relationships/hyperlink" Target="consultantplus://offline/ref=4C73F889E0F8CCDFA60B9ECB213078740AFF2589D178450F7D6D4DFBC54FA5175C272D0F04D84A68FEC6E70C31B1228C02A36442E417220Dy9N7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C73F889E0F8CCDFA60B9ECB213078740AFA2B88D57E450F7D6D4DFBC54FA5174E27750306D1536CF2D3B15D77yEN4G" TargetMode="External"/><Relationship Id="rId14" Type="http://schemas.openxmlformats.org/officeDocument/2006/relationships/hyperlink" Target="consultantplus://offline/ref=4C73F889E0F8CCDFA60B9ECB2130787408FA2A80D67F450F7D6D4DFBC54FA5174E27750306D1536CF2D3B15D77yEN4G" TargetMode="External"/><Relationship Id="rId22" Type="http://schemas.openxmlformats.org/officeDocument/2006/relationships/hyperlink" Target="consultantplus://offline/ref=4C73F889E0F8CCDFA60B9ECB213078740AFA2B88D57E450F7D6D4DFBC54FA5174E27750306D1536CF2D3B15D77yEN4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6447</Words>
  <Characters>36752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43113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Тутарков Александр Александрович</dc:creator>
  <cp:keywords/>
  <dc:description/>
  <cp:lastModifiedBy>Тутарков Александр Александрович</cp:lastModifiedBy>
  <cp:revision>1</cp:revision>
  <dcterms:created xsi:type="dcterms:W3CDTF">2020-09-28T06:13:00Z</dcterms:created>
  <dcterms:modified xsi:type="dcterms:W3CDTF">2020-09-28T06:23:00Z</dcterms:modified>
</cp:coreProperties>
</file>