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000" w:firstRow="0" w:lastRow="0" w:firstColumn="0" w:lastColumn="0" w:noHBand="0" w:noVBand="0"/>
      </w:tblPr>
      <w:tblGrid>
        <w:gridCol w:w="5103"/>
        <w:gridCol w:w="5104"/>
      </w:tblGrid>
      <w:tr w:rsidR="002463AE" w:rsidRPr="002463AE">
        <w:tc>
          <w:tcPr>
            <w:tcW w:w="5103" w:type="dxa"/>
          </w:tcPr>
          <w:p w:rsidR="002463AE" w:rsidRPr="002463AE" w:rsidRDefault="002463AE">
            <w:pPr>
              <w:autoSpaceDE w:val="0"/>
              <w:autoSpaceDN w:val="0"/>
              <w:adjustRightInd w:val="0"/>
              <w:spacing w:after="0" w:line="240" w:lineRule="auto"/>
              <w:outlineLvl w:val="0"/>
              <w:rPr>
                <w:rFonts w:ascii="Arial" w:hAnsi="Arial" w:cs="Arial"/>
                <w:b/>
                <w:sz w:val="20"/>
                <w:szCs w:val="20"/>
              </w:rPr>
            </w:pPr>
            <w:r w:rsidRPr="002463AE">
              <w:rPr>
                <w:rFonts w:ascii="Arial" w:hAnsi="Arial" w:cs="Arial"/>
                <w:b/>
                <w:sz w:val="20"/>
                <w:szCs w:val="20"/>
              </w:rPr>
              <w:t>27 ноября 2023 года</w:t>
            </w:r>
          </w:p>
        </w:tc>
        <w:tc>
          <w:tcPr>
            <w:tcW w:w="5103" w:type="dxa"/>
          </w:tcPr>
          <w:p w:rsidR="002463AE" w:rsidRPr="002463AE" w:rsidRDefault="002463AE">
            <w:pPr>
              <w:autoSpaceDE w:val="0"/>
              <w:autoSpaceDN w:val="0"/>
              <w:adjustRightInd w:val="0"/>
              <w:spacing w:after="0" w:line="240" w:lineRule="auto"/>
              <w:jc w:val="right"/>
              <w:outlineLvl w:val="0"/>
              <w:rPr>
                <w:rFonts w:ascii="Arial" w:hAnsi="Arial" w:cs="Arial"/>
                <w:b/>
                <w:sz w:val="20"/>
                <w:szCs w:val="20"/>
              </w:rPr>
            </w:pPr>
            <w:r w:rsidRPr="002463AE">
              <w:rPr>
                <w:rFonts w:ascii="Arial" w:hAnsi="Arial" w:cs="Arial"/>
                <w:b/>
                <w:sz w:val="20"/>
                <w:szCs w:val="20"/>
              </w:rPr>
              <w:t>N 540-ФЗ</w:t>
            </w:r>
          </w:p>
        </w:tc>
      </w:tr>
    </w:tbl>
    <w:p w:rsidR="002463AE" w:rsidRPr="002463AE" w:rsidRDefault="002463AE" w:rsidP="002463AE">
      <w:pPr>
        <w:pBdr>
          <w:top w:val="single" w:sz="6" w:space="0" w:color="auto"/>
        </w:pBdr>
        <w:autoSpaceDE w:val="0"/>
        <w:autoSpaceDN w:val="0"/>
        <w:adjustRightInd w:val="0"/>
        <w:spacing w:before="100" w:after="100" w:line="240" w:lineRule="auto"/>
        <w:jc w:val="both"/>
        <w:rPr>
          <w:rFonts w:ascii="Arial" w:hAnsi="Arial" w:cs="Arial"/>
          <w:b/>
          <w:sz w:val="2"/>
          <w:szCs w:val="2"/>
        </w:rPr>
      </w:pPr>
    </w:p>
    <w:p w:rsidR="002463AE" w:rsidRDefault="002463AE" w:rsidP="002463AE">
      <w:pPr>
        <w:autoSpaceDE w:val="0"/>
        <w:autoSpaceDN w:val="0"/>
        <w:adjustRightInd w:val="0"/>
        <w:spacing w:after="0" w:line="240" w:lineRule="auto"/>
        <w:jc w:val="both"/>
        <w:rPr>
          <w:rFonts w:ascii="Arial" w:hAnsi="Arial" w:cs="Arial"/>
          <w:sz w:val="20"/>
          <w:szCs w:val="20"/>
        </w:rPr>
      </w:pPr>
    </w:p>
    <w:p w:rsidR="002463AE" w:rsidRDefault="002463AE" w:rsidP="002463AE">
      <w:pPr>
        <w:keepNext w:val="0"/>
        <w:keepLines w:val="0"/>
        <w:autoSpaceDE w:val="0"/>
        <w:autoSpaceDN w:val="0"/>
        <w:adjustRightInd w:val="0"/>
        <w:spacing w:before="0" w:line="240" w:lineRule="auto"/>
        <w:ind w:firstLine="540"/>
        <w:jc w:val="both"/>
        <w:rPr>
          <w:rFonts w:ascii="Arial" w:eastAsiaTheme="minorHAnsi" w:hAnsi="Arial" w:cs="Arial"/>
          <w:b/>
          <w:bCs/>
          <w:color w:val="auto"/>
          <w:sz w:val="20"/>
          <w:szCs w:val="20"/>
        </w:rPr>
      </w:pPr>
      <w:r>
        <w:rPr>
          <w:rFonts w:ascii="Arial" w:eastAsiaTheme="minorHAnsi" w:hAnsi="Arial" w:cs="Arial"/>
          <w:b/>
          <w:bCs/>
          <w:color w:val="auto"/>
          <w:sz w:val="20"/>
          <w:szCs w:val="20"/>
        </w:rPr>
        <w:t>Статья 5. Особенности использования средств, предоставляемых отдельным юридическим лицам и индивидуальным предпринимателям, в 2024 году</w:t>
      </w:r>
    </w:p>
    <w:p w:rsidR="002463AE" w:rsidRDefault="002463AE" w:rsidP="002463AE">
      <w:pPr>
        <w:autoSpaceDE w:val="0"/>
        <w:autoSpaceDN w:val="0"/>
        <w:adjustRightInd w:val="0"/>
        <w:spacing w:after="0" w:line="240" w:lineRule="auto"/>
        <w:ind w:firstLine="540"/>
        <w:jc w:val="both"/>
        <w:rPr>
          <w:rFonts w:ascii="Arial" w:hAnsi="Arial" w:cs="Arial"/>
          <w:sz w:val="20"/>
          <w:szCs w:val="20"/>
        </w:rPr>
      </w:pPr>
    </w:p>
    <w:p w:rsidR="002463AE" w:rsidRDefault="002463AE" w:rsidP="002463AE">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Установить, что в 2024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ar6" w:history="1">
        <w:r>
          <w:rPr>
            <w:rFonts w:ascii="Arial" w:hAnsi="Arial" w:cs="Arial"/>
            <w:color w:val="0000FF"/>
            <w:sz w:val="20"/>
            <w:szCs w:val="20"/>
          </w:rPr>
          <w:t>частях 2</w:t>
        </w:r>
      </w:hyperlink>
      <w:r>
        <w:rPr>
          <w:rFonts w:ascii="Arial" w:hAnsi="Arial" w:cs="Arial"/>
          <w:sz w:val="20"/>
          <w:szCs w:val="20"/>
        </w:rPr>
        <w:t xml:space="preserve"> и </w:t>
      </w:r>
      <w:hyperlink w:anchor="Par16" w:history="1">
        <w:r>
          <w:rPr>
            <w:rFonts w:ascii="Arial" w:hAnsi="Arial" w:cs="Arial"/>
            <w:color w:val="0000FF"/>
            <w:sz w:val="20"/>
            <w:szCs w:val="20"/>
          </w:rPr>
          <w:t>3</w:t>
        </w:r>
      </w:hyperlink>
      <w:r>
        <w:rPr>
          <w:rFonts w:ascii="Arial" w:hAnsi="Arial" w:cs="Arial"/>
          <w:sz w:val="20"/>
          <w:szCs w:val="20"/>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ar33" w:history="1">
        <w:r>
          <w:rPr>
            <w:rFonts w:ascii="Arial" w:hAnsi="Arial" w:cs="Arial"/>
            <w:color w:val="0000FF"/>
            <w:sz w:val="20"/>
            <w:szCs w:val="20"/>
          </w:rPr>
          <w:t>частями 11</w:t>
        </w:r>
      </w:hyperlink>
      <w:r>
        <w:rPr>
          <w:rFonts w:ascii="Arial" w:hAnsi="Arial" w:cs="Arial"/>
          <w:sz w:val="20"/>
          <w:szCs w:val="20"/>
        </w:rPr>
        <w:t xml:space="preserve"> и </w:t>
      </w:r>
      <w:hyperlink w:anchor="Par34" w:history="1">
        <w:r>
          <w:rPr>
            <w:rFonts w:ascii="Arial" w:hAnsi="Arial" w:cs="Arial"/>
            <w:color w:val="0000FF"/>
            <w:sz w:val="20"/>
            <w:szCs w:val="20"/>
          </w:rPr>
          <w:t>12</w:t>
        </w:r>
      </w:hyperlink>
      <w:r>
        <w:rPr>
          <w:rFonts w:ascii="Arial" w:hAnsi="Arial" w:cs="Arial"/>
          <w:sz w:val="20"/>
          <w:szCs w:val="20"/>
        </w:rPr>
        <w:t xml:space="preserve"> настоящей статьи (далее - целевые средства).</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bookmarkStart w:id="0" w:name="Par6"/>
      <w:bookmarkEnd w:id="0"/>
      <w:r>
        <w:rPr>
          <w:rFonts w:ascii="Arial" w:hAnsi="Arial" w:cs="Arial"/>
          <w:sz w:val="20"/>
          <w:szCs w:val="20"/>
        </w:rPr>
        <w:t>2. Установить, что в соответстви</w:t>
      </w:r>
      <w:bookmarkStart w:id="1" w:name="_GoBack"/>
      <w:bookmarkEnd w:id="1"/>
      <w:r>
        <w:rPr>
          <w:rFonts w:ascii="Arial" w:hAnsi="Arial" w:cs="Arial"/>
          <w:sz w:val="20"/>
          <w:szCs w:val="20"/>
        </w:rPr>
        <w:t xml:space="preserve">и со </w:t>
      </w:r>
      <w:hyperlink r:id="rId4" w:history="1">
        <w:r>
          <w:rPr>
            <w:rFonts w:ascii="Arial" w:hAnsi="Arial" w:cs="Arial"/>
            <w:color w:val="0000FF"/>
            <w:sz w:val="20"/>
            <w:szCs w:val="20"/>
          </w:rPr>
          <w:t>статьей 242.25</w:t>
        </w:r>
      </w:hyperlink>
      <w:r>
        <w:rPr>
          <w:rFonts w:ascii="Arial" w:hAnsi="Arial" w:cs="Arial"/>
          <w:sz w:val="20"/>
          <w:szCs w:val="20"/>
        </w:rPr>
        <w:t xml:space="preserve"> Бюджетного кодекса Российской Федерации казначейскому сопровождению подлежат следующие целевые средства:</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bookmarkStart w:id="2" w:name="Par7"/>
      <w:bookmarkEnd w:id="2"/>
      <w:r>
        <w:rPr>
          <w:rFonts w:ascii="Arial" w:hAnsi="Arial" w:cs="Arial"/>
          <w:sz w:val="20"/>
          <w:szCs w:val="20"/>
        </w:rPr>
        <w:t xml:space="preserve">1)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w:t>
      </w:r>
      <w:hyperlink r:id="rId5" w:history="1">
        <w:r>
          <w:rPr>
            <w:rFonts w:ascii="Arial" w:hAnsi="Arial" w:cs="Arial"/>
            <w:color w:val="0000FF"/>
            <w:sz w:val="20"/>
            <w:szCs w:val="20"/>
          </w:rPr>
          <w:t>статьей 80</w:t>
        </w:r>
      </w:hyperlink>
      <w:r>
        <w:rPr>
          <w:rFonts w:ascii="Arial" w:hAnsi="Arial" w:cs="Arial"/>
          <w:sz w:val="20"/>
          <w:szCs w:val="20"/>
        </w:rPr>
        <w:t xml:space="preserve"> Бюджетного кодекса Российской Федерации;</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bookmarkStart w:id="3" w:name="Par8"/>
      <w:bookmarkEnd w:id="3"/>
      <w:r>
        <w:rPr>
          <w:rFonts w:ascii="Arial" w:hAnsi="Arial" w:cs="Arial"/>
          <w:sz w:val="20"/>
          <w:szCs w:val="20"/>
        </w:rPr>
        <w:t xml:space="preserve">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w:t>
      </w:r>
      <w:hyperlink w:anchor="Par7" w:history="1">
        <w:r>
          <w:rPr>
            <w:rFonts w:ascii="Arial" w:hAnsi="Arial" w:cs="Arial"/>
            <w:color w:val="0000FF"/>
            <w:sz w:val="20"/>
            <w:szCs w:val="20"/>
          </w:rPr>
          <w:t>пункте 1</w:t>
        </w:r>
      </w:hyperlink>
      <w:r>
        <w:rPr>
          <w:rFonts w:ascii="Arial" w:hAnsi="Arial" w:cs="Arial"/>
          <w:sz w:val="20"/>
          <w:szCs w:val="20"/>
        </w:rPr>
        <w:t xml:space="preserve"> настоящей части;</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bookmarkStart w:id="4" w:name="Par9"/>
      <w:bookmarkEnd w:id="4"/>
      <w:r>
        <w:rPr>
          <w:rFonts w:ascii="Arial" w:hAnsi="Arial" w:cs="Arial"/>
          <w:sz w:val="20"/>
          <w:szCs w:val="20"/>
        </w:rPr>
        <w:t xml:space="preserve">3)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ar7" w:history="1">
        <w:r>
          <w:rPr>
            <w:rFonts w:ascii="Arial" w:hAnsi="Arial" w:cs="Arial"/>
            <w:color w:val="0000FF"/>
            <w:sz w:val="20"/>
            <w:szCs w:val="20"/>
          </w:rPr>
          <w:t>пункте 1</w:t>
        </w:r>
      </w:hyperlink>
      <w:r>
        <w:rPr>
          <w:rFonts w:ascii="Arial" w:hAnsi="Arial" w:cs="Arial"/>
          <w:sz w:val="20"/>
          <w:szCs w:val="20"/>
        </w:rPr>
        <w:t xml:space="preserve"> настоящей части, а также взносы (вклады), указанные в </w:t>
      </w:r>
      <w:hyperlink w:anchor="Par8" w:history="1">
        <w:r>
          <w:rPr>
            <w:rFonts w:ascii="Arial" w:hAnsi="Arial" w:cs="Arial"/>
            <w:color w:val="0000FF"/>
            <w:sz w:val="20"/>
            <w:szCs w:val="20"/>
          </w:rPr>
          <w:t>пункте 2</w:t>
        </w:r>
      </w:hyperlink>
      <w:r>
        <w:rPr>
          <w:rFonts w:ascii="Arial" w:hAnsi="Arial" w:cs="Arial"/>
          <w:sz w:val="20"/>
          <w:szCs w:val="20"/>
        </w:rPr>
        <w:t xml:space="preserve"> настоящей части;</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bookmarkStart w:id="5" w:name="Par10"/>
      <w:bookmarkEnd w:id="5"/>
      <w:r>
        <w:rPr>
          <w:rFonts w:ascii="Arial" w:hAnsi="Arial" w:cs="Arial"/>
          <w:sz w:val="20"/>
          <w:szCs w:val="20"/>
        </w:rPr>
        <w:t>4)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bookmarkStart w:id="6" w:name="Par11"/>
      <w:bookmarkEnd w:id="6"/>
      <w:r>
        <w:rPr>
          <w:rFonts w:ascii="Arial" w:hAnsi="Arial" w:cs="Arial"/>
          <w:sz w:val="20"/>
          <w:szCs w:val="20"/>
        </w:rPr>
        <w:t xml:space="preserve">5)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6" w:history="1">
        <w:r>
          <w:rPr>
            <w:rFonts w:ascii="Arial" w:hAnsi="Arial" w:cs="Arial"/>
            <w:color w:val="0000FF"/>
            <w:sz w:val="20"/>
            <w:szCs w:val="20"/>
          </w:rPr>
          <w:t>абзацем вторым пункта 1 статьи 78.1</w:t>
        </w:r>
      </w:hyperlink>
      <w:r>
        <w:rPr>
          <w:rFonts w:ascii="Arial" w:hAnsi="Arial" w:cs="Arial"/>
          <w:sz w:val="20"/>
          <w:szCs w:val="20"/>
        </w:rPr>
        <w:t xml:space="preserve"> и </w:t>
      </w:r>
      <w:hyperlink r:id="rId7" w:history="1">
        <w:r>
          <w:rPr>
            <w:rFonts w:ascii="Arial" w:hAnsi="Arial" w:cs="Arial"/>
            <w:color w:val="0000FF"/>
            <w:sz w:val="20"/>
            <w:szCs w:val="20"/>
          </w:rPr>
          <w:t>статьей 78.2</w:t>
        </w:r>
      </w:hyperlink>
      <w:r>
        <w:rPr>
          <w:rFonts w:ascii="Arial" w:hAnsi="Arial" w:cs="Arial"/>
          <w:sz w:val="20"/>
          <w:szCs w:val="20"/>
        </w:rPr>
        <w:t xml:space="preserve"> Бюджетного кодекса Российской Федерации;</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 расчеты по государственным контрактам, заключаемым в соответствии с </w:t>
      </w:r>
      <w:hyperlink r:id="rId8" w:history="1">
        <w:r>
          <w:rPr>
            <w:rFonts w:ascii="Arial" w:hAnsi="Arial" w:cs="Arial"/>
            <w:color w:val="0000FF"/>
            <w:sz w:val="20"/>
            <w:szCs w:val="20"/>
          </w:rPr>
          <w:t>пунктом 2 части 1 статьи 93</w:t>
        </w:r>
      </w:hyperlink>
      <w:r>
        <w:rPr>
          <w:rFonts w:ascii="Arial" w:hAnsi="Arial" w:cs="Arial"/>
          <w:sz w:val="20"/>
          <w:szCs w:val="20"/>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 на сумму более 3 000,0 тыс. рублей, а также расчеты по контрактам (договорам), заключаемым в целях исполнения указанных государственных контрактов на сумму более 3 000,0 тыс. рублей;</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расчеты по государственным контрактам, заключаемым в целях реализации государственного оборонного заказа на сумму более 3 000,0 тыс. рублей, а также расчеты по контрактам (договорам), заключаемым в рамках исполнения указанных государственных контрактов на сумму более 3 000,0 тыс. рублей;</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 авансовые платежи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в </w:t>
      </w:r>
      <w:hyperlink w:anchor="Par10" w:history="1">
        <w:r>
          <w:rPr>
            <w:rFonts w:ascii="Arial" w:hAnsi="Arial" w:cs="Arial"/>
            <w:color w:val="0000FF"/>
            <w:sz w:val="20"/>
            <w:szCs w:val="20"/>
          </w:rPr>
          <w:t>пунктах 4</w:t>
        </w:r>
      </w:hyperlink>
      <w:r>
        <w:rPr>
          <w:rFonts w:ascii="Arial" w:hAnsi="Arial" w:cs="Arial"/>
          <w:sz w:val="20"/>
          <w:szCs w:val="20"/>
        </w:rPr>
        <w:t xml:space="preserve"> и </w:t>
      </w:r>
      <w:hyperlink w:anchor="Par11" w:history="1">
        <w:r>
          <w:rPr>
            <w:rFonts w:ascii="Arial" w:hAnsi="Arial" w:cs="Arial"/>
            <w:color w:val="0000FF"/>
            <w:sz w:val="20"/>
            <w:szCs w:val="20"/>
          </w:rPr>
          <w:t>5</w:t>
        </w:r>
      </w:hyperlink>
      <w:r>
        <w:rPr>
          <w:rFonts w:ascii="Arial" w:hAnsi="Arial" w:cs="Arial"/>
          <w:sz w:val="20"/>
          <w:szCs w:val="20"/>
        </w:rPr>
        <w:t xml:space="preserve"> настоящей части государственных контрактов (контрактов, договоров) о поставке товаров, выполнении работ, оказании услуг;</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 средства, получаемые юридическими лицами и индивидуальными предпринимателями, в </w:t>
      </w:r>
      <w:hyperlink r:id="rId9" w:history="1">
        <w:r>
          <w:rPr>
            <w:rFonts w:ascii="Arial" w:hAnsi="Arial" w:cs="Arial"/>
            <w:color w:val="0000FF"/>
            <w:sz w:val="20"/>
            <w:szCs w:val="20"/>
          </w:rPr>
          <w:t>случаях</w:t>
        </w:r>
      </w:hyperlink>
      <w:r>
        <w:rPr>
          <w:rFonts w:ascii="Arial" w:hAnsi="Arial" w:cs="Arial"/>
          <w:sz w:val="20"/>
          <w:szCs w:val="20"/>
        </w:rPr>
        <w:t>, установленных Правительством Российской Федерации.</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bookmarkStart w:id="7" w:name="Par16"/>
      <w:bookmarkEnd w:id="7"/>
      <w:r>
        <w:rPr>
          <w:rFonts w:ascii="Arial" w:hAnsi="Arial" w:cs="Arial"/>
          <w:sz w:val="20"/>
          <w:szCs w:val="20"/>
        </w:rPr>
        <w:t xml:space="preserve">3. Установить, что территориальные органы Федерального казначейства осуществляют в </w:t>
      </w:r>
      <w:hyperlink r:id="rId10" w:history="1">
        <w:r>
          <w:rPr>
            <w:rFonts w:ascii="Arial" w:hAnsi="Arial" w:cs="Arial"/>
            <w:color w:val="0000FF"/>
            <w:sz w:val="20"/>
            <w:szCs w:val="20"/>
          </w:rPr>
          <w:t>порядке</w:t>
        </w:r>
      </w:hyperlink>
      <w:r>
        <w:rPr>
          <w:rFonts w:ascii="Arial" w:hAnsi="Arial" w:cs="Arial"/>
          <w:sz w:val="20"/>
          <w:szCs w:val="20"/>
        </w:rPr>
        <w:t xml:space="preserve">, установленном Правительством Российской Федерации в соответствии с </w:t>
      </w:r>
      <w:hyperlink r:id="rId11" w:history="1">
        <w:r>
          <w:rPr>
            <w:rFonts w:ascii="Arial" w:hAnsi="Arial" w:cs="Arial"/>
            <w:color w:val="0000FF"/>
            <w:sz w:val="20"/>
            <w:szCs w:val="20"/>
          </w:rPr>
          <w:t>пунктом 3 статьи 242.23</w:t>
        </w:r>
      </w:hyperlink>
      <w:r>
        <w:rPr>
          <w:rFonts w:ascii="Arial" w:hAnsi="Arial" w:cs="Arial"/>
          <w:sz w:val="20"/>
          <w:szCs w:val="20"/>
        </w:rPr>
        <w:t xml:space="preserve"> Бюджетного кодекса Российской Федерации, казначейское сопровождение:</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bookmarkStart w:id="8" w:name="Par17"/>
      <w:bookmarkEnd w:id="8"/>
      <w:r>
        <w:rPr>
          <w:rFonts w:ascii="Arial" w:hAnsi="Arial" w:cs="Arial"/>
          <w:sz w:val="20"/>
          <w:szCs w:val="20"/>
        </w:rPr>
        <w:lastRenderedPageBreak/>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2" w:history="1">
        <w:r>
          <w:rPr>
            <w:rFonts w:ascii="Arial" w:hAnsi="Arial" w:cs="Arial"/>
            <w:color w:val="0000FF"/>
            <w:sz w:val="20"/>
            <w:szCs w:val="20"/>
          </w:rPr>
          <w:t>статьей 80</w:t>
        </w:r>
      </w:hyperlink>
      <w:r>
        <w:rPr>
          <w:rFonts w:ascii="Arial" w:hAnsi="Arial" w:cs="Arial"/>
          <w:sz w:val="20"/>
          <w:szCs w:val="20"/>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Arial" w:hAnsi="Arial" w:cs="Arial"/>
          <w:sz w:val="20"/>
          <w:szCs w:val="20"/>
        </w:rPr>
        <w:t>муниципально</w:t>
      </w:r>
      <w:proofErr w:type="spellEnd"/>
      <w:r>
        <w:rPr>
          <w:rFonts w:ascii="Arial" w:hAnsi="Arial" w:cs="Arial"/>
          <w:sz w:val="20"/>
          <w:szCs w:val="20"/>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Pr>
          <w:rFonts w:ascii="Arial" w:hAnsi="Arial" w:cs="Arial"/>
          <w:sz w:val="20"/>
          <w:szCs w:val="20"/>
        </w:rPr>
        <w:t>софинансирование</w:t>
      </w:r>
      <w:proofErr w:type="spellEnd"/>
      <w:r>
        <w:rPr>
          <w:rFonts w:ascii="Arial" w:hAnsi="Arial" w:cs="Arial"/>
          <w:sz w:val="20"/>
          <w:szCs w:val="20"/>
        </w:rP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Arial" w:hAnsi="Arial" w:cs="Arial"/>
          <w:sz w:val="20"/>
          <w:szCs w:val="20"/>
        </w:rPr>
        <w:t>муниципально</w:t>
      </w:r>
      <w:proofErr w:type="spellEnd"/>
      <w:r>
        <w:rPr>
          <w:rFonts w:ascii="Arial" w:hAnsi="Arial" w:cs="Arial"/>
          <w:sz w:val="20"/>
          <w:szCs w:val="20"/>
        </w:rPr>
        <w:t>-частном партнерстве);</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3" w:history="1">
        <w:r>
          <w:rPr>
            <w:rFonts w:ascii="Arial" w:hAnsi="Arial" w:cs="Arial"/>
            <w:color w:val="0000FF"/>
            <w:sz w:val="20"/>
            <w:szCs w:val="20"/>
          </w:rPr>
          <w:t>статьей 80</w:t>
        </w:r>
      </w:hyperlink>
      <w:r>
        <w:rPr>
          <w:rFonts w:ascii="Arial" w:hAnsi="Arial" w:cs="Arial"/>
          <w:sz w:val="20"/>
          <w:szCs w:val="20"/>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Arial" w:hAnsi="Arial" w:cs="Arial"/>
          <w:sz w:val="20"/>
          <w:szCs w:val="20"/>
        </w:rPr>
        <w:t>муниципально</w:t>
      </w:r>
      <w:proofErr w:type="spellEnd"/>
      <w:r>
        <w:rPr>
          <w:rFonts w:ascii="Arial" w:hAnsi="Arial" w:cs="Arial"/>
          <w:sz w:val="20"/>
          <w:szCs w:val="20"/>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Arial" w:hAnsi="Arial" w:cs="Arial"/>
          <w:sz w:val="20"/>
          <w:szCs w:val="20"/>
        </w:rPr>
        <w:t>муниципально</w:t>
      </w:r>
      <w:proofErr w:type="spellEnd"/>
      <w:r>
        <w:rPr>
          <w:rFonts w:ascii="Arial" w:hAnsi="Arial" w:cs="Arial"/>
          <w:sz w:val="20"/>
          <w:szCs w:val="20"/>
        </w:rPr>
        <w:t>-частном партнерстве);</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bookmarkStart w:id="9" w:name="Par19"/>
      <w:bookmarkEnd w:id="9"/>
      <w:r>
        <w:rPr>
          <w:rFonts w:ascii="Arial" w:hAnsi="Arial" w:cs="Arial"/>
          <w:sz w:val="20"/>
          <w:szCs w:val="20"/>
        </w:rPr>
        <w:t xml:space="preserve">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бюджетных инвестиций юридическим лицам, предоставляемых в соответствии со </w:t>
      </w:r>
      <w:hyperlink r:id="rId14" w:history="1">
        <w:r>
          <w:rPr>
            <w:rFonts w:ascii="Arial" w:hAnsi="Arial" w:cs="Arial"/>
            <w:color w:val="0000FF"/>
            <w:sz w:val="20"/>
            <w:szCs w:val="20"/>
          </w:rPr>
          <w:t>статьей 80</w:t>
        </w:r>
      </w:hyperlink>
      <w:r>
        <w:rPr>
          <w:rFonts w:ascii="Arial" w:hAnsi="Arial" w:cs="Arial"/>
          <w:sz w:val="20"/>
          <w:szCs w:val="20"/>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Arial" w:hAnsi="Arial" w:cs="Arial"/>
          <w:sz w:val="20"/>
          <w:szCs w:val="20"/>
        </w:rPr>
        <w:t>муниципально</w:t>
      </w:r>
      <w:proofErr w:type="spellEnd"/>
      <w:r>
        <w:rPr>
          <w:rFonts w:ascii="Arial" w:hAnsi="Arial" w:cs="Arial"/>
          <w:sz w:val="20"/>
          <w:szCs w:val="20"/>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на пополнение </w:t>
      </w:r>
      <w:r>
        <w:rPr>
          <w:rFonts w:ascii="Arial" w:hAnsi="Arial" w:cs="Arial"/>
          <w:sz w:val="20"/>
          <w:szCs w:val="20"/>
        </w:rPr>
        <w:lastRenderedPageBreak/>
        <w:t xml:space="preserve">остатка средств на едином счете бюджета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 на </w:t>
      </w:r>
      <w:proofErr w:type="spellStart"/>
      <w:r>
        <w:rPr>
          <w:rFonts w:ascii="Arial" w:hAnsi="Arial" w:cs="Arial"/>
          <w:sz w:val="20"/>
          <w:szCs w:val="20"/>
        </w:rPr>
        <w:t>софинансирование</w:t>
      </w:r>
      <w:proofErr w:type="spellEnd"/>
      <w:r>
        <w:rPr>
          <w:rFonts w:ascii="Arial" w:hAnsi="Arial" w:cs="Arial"/>
          <w:sz w:val="20"/>
          <w:szCs w:val="20"/>
        </w:rPr>
        <w:t xml:space="preserve"> которых в 2024 году из федерального бюджета предоставляются межбюджетные трансферты в целях строительства, реконструкции, капитального ремонта и ремонта объектов государственной собственности субъектов Российской Федерации (муниципальной собственности), приобретения объектов недвижимого имущества в государственную собственность субъектов Российской Федерации (муниципальную собственность),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Arial" w:hAnsi="Arial" w:cs="Arial"/>
          <w:sz w:val="20"/>
          <w:szCs w:val="20"/>
        </w:rPr>
        <w:t>муниципально</w:t>
      </w:r>
      <w:proofErr w:type="spellEnd"/>
      <w:r>
        <w:rPr>
          <w:rFonts w:ascii="Arial" w:hAnsi="Arial" w:cs="Arial"/>
          <w:sz w:val="20"/>
          <w:szCs w:val="20"/>
        </w:rPr>
        <w:t>-частном партнерстве);</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расчетов по государственным (муниципальным) контрактам, заключаемым в соответствии с </w:t>
      </w:r>
      <w:hyperlink r:id="rId15" w:history="1">
        <w:r>
          <w:rPr>
            <w:rFonts w:ascii="Arial" w:hAnsi="Arial" w:cs="Arial"/>
            <w:color w:val="0000FF"/>
            <w:sz w:val="20"/>
            <w:szCs w:val="20"/>
          </w:rPr>
          <w:t>пунктами 2</w:t>
        </w:r>
      </w:hyperlink>
      <w:r>
        <w:rPr>
          <w:rFonts w:ascii="Arial" w:hAnsi="Arial" w:cs="Arial"/>
          <w:sz w:val="20"/>
          <w:szCs w:val="20"/>
        </w:rPr>
        <w:t xml:space="preserve"> и </w:t>
      </w:r>
      <w:hyperlink r:id="rId16" w:history="1">
        <w:r>
          <w:rPr>
            <w:rFonts w:ascii="Arial" w:hAnsi="Arial" w:cs="Arial"/>
            <w:color w:val="0000FF"/>
            <w:sz w:val="20"/>
            <w:szCs w:val="20"/>
          </w:rPr>
          <w:t>6.1 части 1 статьи 93</w:t>
        </w:r>
      </w:hyperlink>
      <w:r>
        <w:rPr>
          <w:rFonts w:ascii="Arial" w:hAnsi="Arial" w:cs="Arial"/>
          <w:sz w:val="20"/>
          <w:szCs w:val="20"/>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3 000,0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3 000,0 тыс. рублей;</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bookmarkStart w:id="10" w:name="Par21"/>
      <w:bookmarkEnd w:id="10"/>
      <w:r>
        <w:rPr>
          <w:rFonts w:ascii="Arial" w:hAnsi="Arial" w:cs="Arial"/>
          <w:sz w:val="20"/>
          <w:szCs w:val="20"/>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bookmarkStart w:id="11" w:name="Par22"/>
      <w:bookmarkEnd w:id="11"/>
      <w:r>
        <w:rPr>
          <w:rFonts w:ascii="Arial" w:hAnsi="Arial" w:cs="Arial"/>
          <w:sz w:val="20"/>
          <w:szCs w:val="20"/>
        </w:rPr>
        <w:t xml:space="preserve">6) иных средств, определенных с учетом положений, установленных </w:t>
      </w:r>
      <w:hyperlink r:id="rId17" w:history="1">
        <w:r>
          <w:rPr>
            <w:rFonts w:ascii="Arial" w:hAnsi="Arial" w:cs="Arial"/>
            <w:color w:val="0000FF"/>
            <w:sz w:val="20"/>
            <w:szCs w:val="20"/>
          </w:rPr>
          <w:t>статьей 242.26</w:t>
        </w:r>
      </w:hyperlink>
      <w:r>
        <w:rPr>
          <w:rFonts w:ascii="Arial" w:hAnsi="Arial" w:cs="Arial"/>
          <w:sz w:val="20"/>
          <w:szCs w:val="20"/>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Положения </w:t>
      </w:r>
      <w:hyperlink w:anchor="Par6" w:history="1">
        <w:r>
          <w:rPr>
            <w:rFonts w:ascii="Arial" w:hAnsi="Arial" w:cs="Arial"/>
            <w:color w:val="0000FF"/>
            <w:sz w:val="20"/>
            <w:szCs w:val="20"/>
          </w:rPr>
          <w:t>части 2</w:t>
        </w:r>
      </w:hyperlink>
      <w:r>
        <w:rPr>
          <w:rFonts w:ascii="Arial" w:hAnsi="Arial" w:cs="Arial"/>
          <w:sz w:val="20"/>
          <w:szCs w:val="20"/>
        </w:rPr>
        <w:t xml:space="preserve"> настоящей статьи не распространяются в соответствии с </w:t>
      </w:r>
      <w:hyperlink r:id="rId18" w:history="1">
        <w:r>
          <w:rPr>
            <w:rFonts w:ascii="Arial" w:hAnsi="Arial" w:cs="Arial"/>
            <w:color w:val="0000FF"/>
            <w:sz w:val="20"/>
            <w:szCs w:val="20"/>
          </w:rPr>
          <w:t>подпунктом 4 статьи 242.27</w:t>
        </w:r>
      </w:hyperlink>
      <w:r>
        <w:rPr>
          <w:rFonts w:ascii="Arial" w:hAnsi="Arial" w:cs="Arial"/>
          <w:sz w:val="20"/>
          <w:szCs w:val="20"/>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(Секретно).</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19" w:history="1">
        <w:r>
          <w:rPr>
            <w:rFonts w:ascii="Arial" w:hAnsi="Arial" w:cs="Arial"/>
            <w:color w:val="0000FF"/>
            <w:sz w:val="20"/>
            <w:szCs w:val="20"/>
          </w:rPr>
          <w:t>пунктом 1 статьи 242.22</w:t>
        </w:r>
      </w:hyperlink>
      <w:r>
        <w:rPr>
          <w:rFonts w:ascii="Arial" w:hAnsi="Arial" w:cs="Arial"/>
          <w:sz w:val="20"/>
          <w:szCs w:val="20"/>
        </w:rPr>
        <w:t xml:space="preserve"> Бюджетного кодекса Российской Федерации осуществляется в отношении:</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bookmarkStart w:id="12" w:name="Par26"/>
      <w:bookmarkEnd w:id="12"/>
      <w:r>
        <w:rPr>
          <w:rFonts w:ascii="Arial" w:hAnsi="Arial" w:cs="Arial"/>
          <w:sz w:val="20"/>
          <w:szCs w:val="20"/>
        </w:rPr>
        <w:t xml:space="preserve">1) субсидий, указанных в </w:t>
      </w:r>
      <w:hyperlink w:anchor="Par7" w:history="1">
        <w:r>
          <w:rPr>
            <w:rFonts w:ascii="Arial" w:hAnsi="Arial" w:cs="Arial"/>
            <w:color w:val="0000FF"/>
            <w:sz w:val="20"/>
            <w:szCs w:val="20"/>
          </w:rPr>
          <w:t>пункте 1 части 2</w:t>
        </w:r>
      </w:hyperlink>
      <w:r>
        <w:rPr>
          <w:rFonts w:ascii="Arial" w:hAnsi="Arial" w:cs="Arial"/>
          <w:sz w:val="20"/>
          <w:szCs w:val="20"/>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Pr>
          <w:rFonts w:ascii="Arial" w:hAnsi="Arial" w:cs="Arial"/>
          <w:sz w:val="20"/>
          <w:szCs w:val="20"/>
        </w:rPr>
        <w:t>Роскосмос</w:t>
      </w:r>
      <w:proofErr w:type="spellEnd"/>
      <w:r>
        <w:rPr>
          <w:rFonts w:ascii="Arial" w:hAnsi="Arial" w:cs="Arial"/>
          <w:sz w:val="20"/>
          <w:szCs w:val="20"/>
        </w:rPr>
        <w:t>", Государственной корпорации по атомной энергии "</w:t>
      </w:r>
      <w:proofErr w:type="spellStart"/>
      <w:r>
        <w:rPr>
          <w:rFonts w:ascii="Arial" w:hAnsi="Arial" w:cs="Arial"/>
          <w:sz w:val="20"/>
          <w:szCs w:val="20"/>
        </w:rPr>
        <w:t>Росатом</w:t>
      </w:r>
      <w:proofErr w:type="spellEnd"/>
      <w:r>
        <w:rPr>
          <w:rFonts w:ascii="Arial" w:hAnsi="Arial" w:cs="Arial"/>
          <w:sz w:val="20"/>
          <w:szCs w:val="20"/>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bookmarkStart w:id="13" w:name="Par28"/>
      <w:bookmarkEnd w:id="13"/>
      <w:r>
        <w:rPr>
          <w:rFonts w:ascii="Arial" w:hAnsi="Arial" w:cs="Arial"/>
          <w:sz w:val="20"/>
          <w:szCs w:val="20"/>
        </w:rPr>
        <w:t>3) средств, получаемых юридическими лицами в случаях, установленных Правительством Российской Федерации.</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ar26" w:history="1">
        <w:r>
          <w:rPr>
            <w:rFonts w:ascii="Arial" w:hAnsi="Arial" w:cs="Arial"/>
            <w:color w:val="0000FF"/>
            <w:sz w:val="20"/>
            <w:szCs w:val="20"/>
          </w:rPr>
          <w:t>пунктах 1</w:t>
        </w:r>
      </w:hyperlink>
      <w:r>
        <w:rPr>
          <w:rFonts w:ascii="Arial" w:hAnsi="Arial" w:cs="Arial"/>
          <w:sz w:val="20"/>
          <w:szCs w:val="20"/>
        </w:rPr>
        <w:t xml:space="preserve"> - </w:t>
      </w:r>
      <w:hyperlink w:anchor="Par28" w:history="1">
        <w:r>
          <w:rPr>
            <w:rFonts w:ascii="Arial" w:hAnsi="Arial" w:cs="Arial"/>
            <w:color w:val="0000FF"/>
            <w:sz w:val="20"/>
            <w:szCs w:val="20"/>
          </w:rPr>
          <w:t>3 части 6</w:t>
        </w:r>
      </w:hyperlink>
      <w:r>
        <w:rPr>
          <w:rFonts w:ascii="Arial" w:hAnsi="Arial" w:cs="Arial"/>
          <w:sz w:val="20"/>
          <w:szCs w:val="20"/>
        </w:rPr>
        <w:t xml:space="preserve"> настоящей статьи, а также контрактов (договоров), заключаемых в рамках их исполнения.</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 Правительство Российской Федерации устанавливает случаи и </w:t>
      </w:r>
      <w:hyperlink r:id="rId20" w:history="1">
        <w:r>
          <w:rPr>
            <w:rFonts w:ascii="Arial" w:hAnsi="Arial" w:cs="Arial"/>
            <w:color w:val="0000FF"/>
            <w:sz w:val="20"/>
            <w:szCs w:val="20"/>
          </w:rPr>
          <w:t>порядок</w:t>
        </w:r>
      </w:hyperlink>
      <w:r>
        <w:rPr>
          <w:rFonts w:ascii="Arial" w:hAnsi="Arial" w:cs="Arial"/>
          <w:sz w:val="20"/>
          <w:szCs w:val="20"/>
        </w:rPr>
        <w:t xml:space="preserve">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 Установить,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w:t>
      </w:r>
      <w:hyperlink r:id="rId21" w:history="1">
        <w:r>
          <w:rPr>
            <w:rFonts w:ascii="Arial" w:hAnsi="Arial" w:cs="Arial"/>
            <w:color w:val="0000FF"/>
            <w:sz w:val="20"/>
            <w:szCs w:val="20"/>
          </w:rPr>
          <w:t>статьи 242.13-1</w:t>
        </w:r>
      </w:hyperlink>
      <w:r>
        <w:rPr>
          <w:rFonts w:ascii="Arial" w:hAnsi="Arial" w:cs="Arial"/>
          <w:sz w:val="20"/>
          <w:szCs w:val="20"/>
        </w:rPr>
        <w:t xml:space="preserve"> Бюджетного кодекса Российской Федерации распространяются на получателей бюджетных средств, до которых доведены лимиты бюджетных обязательств на предоставление средств, указанных в </w:t>
      </w:r>
      <w:hyperlink w:anchor="Par7" w:history="1">
        <w:r>
          <w:rPr>
            <w:rFonts w:ascii="Arial" w:hAnsi="Arial" w:cs="Arial"/>
            <w:color w:val="0000FF"/>
            <w:sz w:val="20"/>
            <w:szCs w:val="20"/>
          </w:rPr>
          <w:t>пункте 1 части 2</w:t>
        </w:r>
      </w:hyperlink>
      <w:r>
        <w:rPr>
          <w:rFonts w:ascii="Arial" w:hAnsi="Arial" w:cs="Arial"/>
          <w:sz w:val="20"/>
          <w:szCs w:val="20"/>
        </w:rPr>
        <w:t xml:space="preserve">, </w:t>
      </w:r>
      <w:hyperlink w:anchor="Par17" w:history="1">
        <w:r>
          <w:rPr>
            <w:rFonts w:ascii="Arial" w:hAnsi="Arial" w:cs="Arial"/>
            <w:color w:val="0000FF"/>
            <w:sz w:val="20"/>
            <w:szCs w:val="20"/>
          </w:rPr>
          <w:t>пунктах 1</w:t>
        </w:r>
      </w:hyperlink>
      <w:r>
        <w:rPr>
          <w:rFonts w:ascii="Arial" w:hAnsi="Arial" w:cs="Arial"/>
          <w:sz w:val="20"/>
          <w:szCs w:val="20"/>
        </w:rPr>
        <w:t xml:space="preserve"> - </w:t>
      </w:r>
      <w:hyperlink w:anchor="Par19" w:history="1">
        <w:r>
          <w:rPr>
            <w:rFonts w:ascii="Arial" w:hAnsi="Arial" w:cs="Arial"/>
            <w:color w:val="0000FF"/>
            <w:sz w:val="20"/>
            <w:szCs w:val="20"/>
          </w:rPr>
          <w:t>3</w:t>
        </w:r>
      </w:hyperlink>
      <w:r>
        <w:rPr>
          <w:rFonts w:ascii="Arial" w:hAnsi="Arial" w:cs="Arial"/>
          <w:sz w:val="20"/>
          <w:szCs w:val="20"/>
        </w:rPr>
        <w:t xml:space="preserve">, </w:t>
      </w:r>
      <w:hyperlink w:anchor="Par21" w:history="1">
        <w:r>
          <w:rPr>
            <w:rFonts w:ascii="Arial" w:hAnsi="Arial" w:cs="Arial"/>
            <w:color w:val="0000FF"/>
            <w:sz w:val="20"/>
            <w:szCs w:val="20"/>
          </w:rPr>
          <w:t>5</w:t>
        </w:r>
      </w:hyperlink>
      <w:r>
        <w:rPr>
          <w:rFonts w:ascii="Arial" w:hAnsi="Arial" w:cs="Arial"/>
          <w:sz w:val="20"/>
          <w:szCs w:val="20"/>
        </w:rPr>
        <w:t xml:space="preserve"> и </w:t>
      </w:r>
      <w:hyperlink w:anchor="Par22" w:history="1">
        <w:r>
          <w:rPr>
            <w:rFonts w:ascii="Arial" w:hAnsi="Arial" w:cs="Arial"/>
            <w:color w:val="0000FF"/>
            <w:sz w:val="20"/>
            <w:szCs w:val="20"/>
          </w:rPr>
          <w:t>6 части 3</w:t>
        </w:r>
      </w:hyperlink>
      <w:r>
        <w:rPr>
          <w:rFonts w:ascii="Arial" w:hAnsi="Arial" w:cs="Arial"/>
          <w:sz w:val="20"/>
          <w:szCs w:val="20"/>
        </w:rPr>
        <w:t xml:space="preserve"> настоящей статьи, а также на юридических лиц и индивидуальных предпринимателей, являющихся получателями средств, указанных в </w:t>
      </w:r>
      <w:hyperlink w:anchor="Par8" w:history="1">
        <w:r>
          <w:rPr>
            <w:rFonts w:ascii="Arial" w:hAnsi="Arial" w:cs="Arial"/>
            <w:color w:val="0000FF"/>
            <w:sz w:val="20"/>
            <w:szCs w:val="20"/>
          </w:rPr>
          <w:t>пунктах 2</w:t>
        </w:r>
      </w:hyperlink>
      <w:r>
        <w:rPr>
          <w:rFonts w:ascii="Arial" w:hAnsi="Arial" w:cs="Arial"/>
          <w:sz w:val="20"/>
          <w:szCs w:val="20"/>
        </w:rPr>
        <w:t xml:space="preserve"> и </w:t>
      </w:r>
      <w:hyperlink w:anchor="Par9" w:history="1">
        <w:r>
          <w:rPr>
            <w:rFonts w:ascii="Arial" w:hAnsi="Arial" w:cs="Arial"/>
            <w:color w:val="0000FF"/>
            <w:sz w:val="20"/>
            <w:szCs w:val="20"/>
          </w:rPr>
          <w:t>3 части 2</w:t>
        </w:r>
      </w:hyperlink>
      <w:r>
        <w:rPr>
          <w:rFonts w:ascii="Arial" w:hAnsi="Arial" w:cs="Arial"/>
          <w:sz w:val="20"/>
          <w:szCs w:val="20"/>
        </w:rPr>
        <w:t xml:space="preserve">, </w:t>
      </w:r>
      <w:hyperlink w:anchor="Par17" w:history="1">
        <w:r>
          <w:rPr>
            <w:rFonts w:ascii="Arial" w:hAnsi="Arial" w:cs="Arial"/>
            <w:color w:val="0000FF"/>
            <w:sz w:val="20"/>
            <w:szCs w:val="20"/>
          </w:rPr>
          <w:t>пунктах 1</w:t>
        </w:r>
      </w:hyperlink>
      <w:r>
        <w:rPr>
          <w:rFonts w:ascii="Arial" w:hAnsi="Arial" w:cs="Arial"/>
          <w:sz w:val="20"/>
          <w:szCs w:val="20"/>
        </w:rPr>
        <w:t xml:space="preserve"> - </w:t>
      </w:r>
      <w:hyperlink w:anchor="Par19" w:history="1">
        <w:r>
          <w:rPr>
            <w:rFonts w:ascii="Arial" w:hAnsi="Arial" w:cs="Arial"/>
            <w:color w:val="0000FF"/>
            <w:sz w:val="20"/>
            <w:szCs w:val="20"/>
          </w:rPr>
          <w:t>3</w:t>
        </w:r>
      </w:hyperlink>
      <w:r>
        <w:rPr>
          <w:rFonts w:ascii="Arial" w:hAnsi="Arial" w:cs="Arial"/>
          <w:sz w:val="20"/>
          <w:szCs w:val="20"/>
        </w:rPr>
        <w:t xml:space="preserve">, </w:t>
      </w:r>
      <w:hyperlink w:anchor="Par21" w:history="1">
        <w:r>
          <w:rPr>
            <w:rFonts w:ascii="Arial" w:hAnsi="Arial" w:cs="Arial"/>
            <w:color w:val="0000FF"/>
            <w:sz w:val="20"/>
            <w:szCs w:val="20"/>
          </w:rPr>
          <w:t>5</w:t>
        </w:r>
      </w:hyperlink>
      <w:r>
        <w:rPr>
          <w:rFonts w:ascii="Arial" w:hAnsi="Arial" w:cs="Arial"/>
          <w:sz w:val="20"/>
          <w:szCs w:val="20"/>
        </w:rPr>
        <w:t xml:space="preserve"> и </w:t>
      </w:r>
      <w:hyperlink w:anchor="Par22" w:history="1">
        <w:r>
          <w:rPr>
            <w:rFonts w:ascii="Arial" w:hAnsi="Arial" w:cs="Arial"/>
            <w:color w:val="0000FF"/>
            <w:sz w:val="20"/>
            <w:szCs w:val="20"/>
          </w:rPr>
          <w:t>6 части 3</w:t>
        </w:r>
      </w:hyperlink>
      <w:r>
        <w:rPr>
          <w:rFonts w:ascii="Arial" w:hAnsi="Arial" w:cs="Arial"/>
          <w:sz w:val="20"/>
          <w:szCs w:val="20"/>
        </w:rPr>
        <w:t xml:space="preserve"> настоящей статьи.</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2" w:history="1">
        <w:r>
          <w:rPr>
            <w:rFonts w:ascii="Arial" w:hAnsi="Arial" w:cs="Arial"/>
            <w:color w:val="0000FF"/>
            <w:sz w:val="20"/>
            <w:szCs w:val="20"/>
          </w:rPr>
          <w:t>порядке</w:t>
        </w:r>
      </w:hyperlink>
      <w:r>
        <w:rPr>
          <w:rFonts w:ascii="Arial" w:hAnsi="Arial" w:cs="Arial"/>
          <w:sz w:val="20"/>
          <w:szCs w:val="20"/>
        </w:rPr>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bookmarkStart w:id="14" w:name="Par33"/>
      <w:bookmarkEnd w:id="14"/>
      <w:r>
        <w:rPr>
          <w:rFonts w:ascii="Arial" w:hAnsi="Arial" w:cs="Arial"/>
          <w:sz w:val="20"/>
          <w:szCs w:val="20"/>
        </w:rP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2024 года, подлежат использованию этими юридическими лицами в соответствии с решениями, указанными в </w:t>
      </w:r>
      <w:hyperlink w:anchor="Par34" w:history="1">
        <w:r>
          <w:rPr>
            <w:rFonts w:ascii="Arial" w:hAnsi="Arial" w:cs="Arial"/>
            <w:color w:val="0000FF"/>
            <w:sz w:val="20"/>
            <w:szCs w:val="20"/>
          </w:rPr>
          <w:t>части 12</w:t>
        </w:r>
      </w:hyperlink>
      <w:r>
        <w:rPr>
          <w:rFonts w:ascii="Arial" w:hAnsi="Arial" w:cs="Arial"/>
          <w:sz w:val="20"/>
          <w:szCs w:val="20"/>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bookmarkStart w:id="15" w:name="Par34"/>
      <w:bookmarkEnd w:id="15"/>
      <w:r>
        <w:rPr>
          <w:rFonts w:ascii="Arial" w:hAnsi="Arial" w:cs="Arial"/>
          <w:sz w:val="20"/>
          <w:szCs w:val="20"/>
        </w:rP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ar33" w:history="1">
        <w:r>
          <w:rPr>
            <w:rFonts w:ascii="Arial" w:hAnsi="Arial" w:cs="Arial"/>
            <w:color w:val="0000FF"/>
            <w:sz w:val="20"/>
            <w:szCs w:val="20"/>
          </w:rPr>
          <w:t>части 11</w:t>
        </w:r>
      </w:hyperlink>
      <w:r>
        <w:rPr>
          <w:rFonts w:ascii="Arial" w:hAnsi="Arial" w:cs="Arial"/>
          <w:sz w:val="20"/>
          <w:szCs w:val="20"/>
        </w:rPr>
        <w:t xml:space="preserve"> настоящей статьи, принимают до 1 мая 2024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на цели, ранее установленные условиями предоставления целевых средств;</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на иные цели, определенные настоящим Федеральным законом, с последующим сокращением бюджетных ассигнований на предоставление в 2024 году соответствующим юридическим лицам взносов в их уставные (складочные) капиталы.</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bookmarkStart w:id="16" w:name="Par37"/>
      <w:bookmarkEnd w:id="16"/>
      <w:r>
        <w:rPr>
          <w:rFonts w:ascii="Arial" w:hAnsi="Arial" w:cs="Arial"/>
          <w:sz w:val="20"/>
          <w:szCs w:val="20"/>
        </w:rP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w:t>
      </w:r>
      <w:hyperlink w:anchor="Par33" w:history="1">
        <w:r>
          <w:rPr>
            <w:rFonts w:ascii="Arial" w:hAnsi="Arial" w:cs="Arial"/>
            <w:color w:val="0000FF"/>
            <w:sz w:val="20"/>
            <w:szCs w:val="20"/>
          </w:rPr>
          <w:t>части 11</w:t>
        </w:r>
      </w:hyperlink>
      <w:r>
        <w:rPr>
          <w:rFonts w:ascii="Arial" w:hAnsi="Arial" w:cs="Arial"/>
          <w:sz w:val="20"/>
          <w:szCs w:val="20"/>
        </w:rPr>
        <w:t xml:space="preserve"> настоящей статьи, принимают решения об использовании указанных средств для достижения целей, установленных при их предоставлении.</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bookmarkStart w:id="17" w:name="Par38"/>
      <w:bookmarkEnd w:id="17"/>
      <w:r>
        <w:rPr>
          <w:rFonts w:ascii="Arial" w:hAnsi="Arial" w:cs="Arial"/>
          <w:sz w:val="20"/>
          <w:szCs w:val="20"/>
        </w:rPr>
        <w:t xml:space="preserve">14. При отсутствии решений, указанных в </w:t>
      </w:r>
      <w:hyperlink w:anchor="Par34" w:history="1">
        <w:r>
          <w:rPr>
            <w:rFonts w:ascii="Arial" w:hAnsi="Arial" w:cs="Arial"/>
            <w:color w:val="0000FF"/>
            <w:sz w:val="20"/>
            <w:szCs w:val="20"/>
          </w:rPr>
          <w:t>частях 12</w:t>
        </w:r>
      </w:hyperlink>
      <w:r>
        <w:rPr>
          <w:rFonts w:ascii="Arial" w:hAnsi="Arial" w:cs="Arial"/>
          <w:sz w:val="20"/>
          <w:szCs w:val="20"/>
        </w:rPr>
        <w:t xml:space="preserve"> и </w:t>
      </w:r>
      <w:hyperlink w:anchor="Par37" w:history="1">
        <w:r>
          <w:rPr>
            <w:rFonts w:ascii="Arial" w:hAnsi="Arial" w:cs="Arial"/>
            <w:color w:val="0000FF"/>
            <w:sz w:val="20"/>
            <w:szCs w:val="20"/>
          </w:rPr>
          <w:t>13</w:t>
        </w:r>
      </w:hyperlink>
      <w:r>
        <w:rPr>
          <w:rFonts w:ascii="Arial" w:hAnsi="Arial" w:cs="Arial"/>
          <w:sz w:val="20"/>
          <w:szCs w:val="20"/>
        </w:rPr>
        <w:t xml:space="preserve"> настоящей статьи, по состоянию на 1 мая 2024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3" w:history="1">
        <w:r>
          <w:rPr>
            <w:rFonts w:ascii="Arial" w:hAnsi="Arial" w:cs="Arial"/>
            <w:color w:val="0000FF"/>
            <w:sz w:val="20"/>
            <w:szCs w:val="20"/>
          </w:rPr>
          <w:t>статьей 31.1</w:t>
        </w:r>
      </w:hyperlink>
      <w:r>
        <w:rPr>
          <w:rFonts w:ascii="Arial" w:hAnsi="Arial" w:cs="Arial"/>
          <w:sz w:val="20"/>
          <w:szCs w:val="20"/>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w:t>
      </w:r>
      <w:r>
        <w:rPr>
          <w:rFonts w:ascii="Arial" w:hAnsi="Arial" w:cs="Arial"/>
          <w:sz w:val="20"/>
          <w:szCs w:val="20"/>
        </w:rPr>
        <w:lastRenderedPageBreak/>
        <w:t xml:space="preserve">указанные в </w:t>
      </w:r>
      <w:hyperlink w:anchor="Par34" w:history="1">
        <w:r>
          <w:rPr>
            <w:rFonts w:ascii="Arial" w:hAnsi="Arial" w:cs="Arial"/>
            <w:color w:val="0000FF"/>
            <w:sz w:val="20"/>
            <w:szCs w:val="20"/>
          </w:rPr>
          <w:t>частях 12</w:t>
        </w:r>
      </w:hyperlink>
      <w:r>
        <w:rPr>
          <w:rFonts w:ascii="Arial" w:hAnsi="Arial" w:cs="Arial"/>
          <w:sz w:val="20"/>
          <w:szCs w:val="20"/>
        </w:rPr>
        <w:t xml:space="preserve"> и </w:t>
      </w:r>
      <w:hyperlink w:anchor="Par37" w:history="1">
        <w:r>
          <w:rPr>
            <w:rFonts w:ascii="Arial" w:hAnsi="Arial" w:cs="Arial"/>
            <w:color w:val="0000FF"/>
            <w:sz w:val="20"/>
            <w:szCs w:val="20"/>
          </w:rPr>
          <w:t>13</w:t>
        </w:r>
      </w:hyperlink>
      <w:r>
        <w:rPr>
          <w:rFonts w:ascii="Arial" w:hAnsi="Arial" w:cs="Arial"/>
          <w:sz w:val="20"/>
          <w:szCs w:val="20"/>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15. В случае неисполнения юридическими лицами требования, установленного </w:t>
      </w:r>
      <w:hyperlink w:anchor="Par38" w:history="1">
        <w:r>
          <w:rPr>
            <w:rFonts w:ascii="Arial" w:hAnsi="Arial" w:cs="Arial"/>
            <w:color w:val="0000FF"/>
            <w:sz w:val="20"/>
            <w:szCs w:val="20"/>
          </w:rPr>
          <w:t>частью 14</w:t>
        </w:r>
      </w:hyperlink>
      <w:r>
        <w:rPr>
          <w:rFonts w:ascii="Arial" w:hAnsi="Arial" w:cs="Arial"/>
          <w:sz w:val="20"/>
          <w:szCs w:val="20"/>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5D6A26" w:rsidRPr="002463AE" w:rsidRDefault="005D6A26" w:rsidP="002463AE"/>
    <w:sectPr w:rsidR="005D6A26" w:rsidRPr="002463AE" w:rsidSect="00731A9E">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A26"/>
    <w:rsid w:val="002463AE"/>
    <w:rsid w:val="005D6A26"/>
    <w:rsid w:val="00C60E93"/>
    <w:rsid w:val="00CD301E"/>
    <w:rsid w:val="00FE42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7B0601-8055-42D7-9698-8C614297D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6A2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5D6A26"/>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36707&amp;dst=2060" TargetMode="External"/><Relationship Id="rId13" Type="http://schemas.openxmlformats.org/officeDocument/2006/relationships/hyperlink" Target="https://login.consultant.ru/link/?req=doc&amp;base=LAW&amp;n=465808&amp;dst=103142" TargetMode="External"/><Relationship Id="rId18" Type="http://schemas.openxmlformats.org/officeDocument/2006/relationships/hyperlink" Target="https://login.consultant.ru/link/?req=doc&amp;base=LAW&amp;n=465808&amp;dst=6790"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65808&amp;dst=6678" TargetMode="External"/><Relationship Id="rId7" Type="http://schemas.openxmlformats.org/officeDocument/2006/relationships/hyperlink" Target="https://login.consultant.ru/link/?req=doc&amp;base=LAW&amp;n=465808&amp;dst=103433" TargetMode="External"/><Relationship Id="rId12" Type="http://schemas.openxmlformats.org/officeDocument/2006/relationships/hyperlink" Target="https://login.consultant.ru/link/?req=doc&amp;base=LAW&amp;n=465808&amp;dst=103142" TargetMode="External"/><Relationship Id="rId17" Type="http://schemas.openxmlformats.org/officeDocument/2006/relationships/hyperlink" Target="https://login.consultant.ru/link/?req=doc&amp;base=LAW&amp;n=465808&amp;dst=677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450824&amp;dst=12259" TargetMode="External"/><Relationship Id="rId20" Type="http://schemas.openxmlformats.org/officeDocument/2006/relationships/hyperlink" Target="https://login.consultant.ru/link/?req=doc&amp;base=LAW&amp;n=412897&amp;dst=100012" TargetMode="External"/><Relationship Id="rId1" Type="http://schemas.openxmlformats.org/officeDocument/2006/relationships/styles" Target="styles.xml"/><Relationship Id="rId6" Type="http://schemas.openxmlformats.org/officeDocument/2006/relationships/hyperlink" Target="https://login.consultant.ru/link/?req=doc&amp;base=LAW&amp;n=465808&amp;dst=3146" TargetMode="External"/><Relationship Id="rId11" Type="http://schemas.openxmlformats.org/officeDocument/2006/relationships/hyperlink" Target="https://login.consultant.ru/link/?req=doc&amp;base=LAW&amp;n=465808&amp;dst=6751" TargetMode="External"/><Relationship Id="rId24" Type="http://schemas.openxmlformats.org/officeDocument/2006/relationships/fontTable" Target="fontTable.xml"/><Relationship Id="rId5" Type="http://schemas.openxmlformats.org/officeDocument/2006/relationships/hyperlink" Target="https://login.consultant.ru/link/?req=doc&amp;base=LAW&amp;n=465808&amp;dst=103142" TargetMode="External"/><Relationship Id="rId15" Type="http://schemas.openxmlformats.org/officeDocument/2006/relationships/hyperlink" Target="https://login.consultant.ru/link/?req=doc&amp;base=LAW&amp;n=450824&amp;dst=12254" TargetMode="External"/><Relationship Id="rId23" Type="http://schemas.openxmlformats.org/officeDocument/2006/relationships/hyperlink" Target="https://login.consultant.ru/link/?req=doc&amp;base=LAW&amp;n=460035&amp;dst=134" TargetMode="External"/><Relationship Id="rId10" Type="http://schemas.openxmlformats.org/officeDocument/2006/relationships/hyperlink" Target="https://login.consultant.ru/link/?req=doc&amp;base=LAW&amp;n=434241&amp;dst=100005" TargetMode="External"/><Relationship Id="rId19" Type="http://schemas.openxmlformats.org/officeDocument/2006/relationships/hyperlink" Target="https://login.consultant.ru/link/?req=doc&amp;base=LAW&amp;n=465808&amp;dst=6731" TargetMode="External"/><Relationship Id="rId4" Type="http://schemas.openxmlformats.org/officeDocument/2006/relationships/hyperlink" Target="https://login.consultant.ru/link/?req=doc&amp;base=LAW&amp;n=465808&amp;dst=6772" TargetMode="External"/><Relationship Id="rId9" Type="http://schemas.openxmlformats.org/officeDocument/2006/relationships/hyperlink" Target="https://login.consultant.ru/link/?req=doc&amp;base=LAW&amp;n=467979&amp;dst=100011" TargetMode="External"/><Relationship Id="rId14" Type="http://schemas.openxmlformats.org/officeDocument/2006/relationships/hyperlink" Target="https://login.consultant.ru/link/?req=doc&amp;base=LAW&amp;n=465808&amp;dst=103142" TargetMode="External"/><Relationship Id="rId22" Type="http://schemas.openxmlformats.org/officeDocument/2006/relationships/hyperlink" Target="https://login.consultant.ru/link/?req=doc&amp;base=LAW&amp;n=464739&amp;dst=1000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3206</Words>
  <Characters>18279</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21443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Эрина Лусине Минасовна</dc:creator>
  <cp:keywords/>
  <dc:description/>
  <cp:lastModifiedBy>Макущенко Ксения Игоревна</cp:lastModifiedBy>
  <cp:revision>4</cp:revision>
  <dcterms:created xsi:type="dcterms:W3CDTF">2024-01-22T06:51:00Z</dcterms:created>
  <dcterms:modified xsi:type="dcterms:W3CDTF">2024-02-13T02:51:00Z</dcterms:modified>
</cp:coreProperties>
</file>