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rPr>
          <w:b/>
        </w:rPr>
      </w:pPr>
      <w:r>
        <w:rPr>
          <w:b/>
        </w:rPr>
        <w:t xml:space="preserve">Информация о контрольных мероприятиях, </w:t>
      </w:r>
    </w:p>
    <w:p>
      <w:pPr>
        <w:jc w:val="center"/>
        <w:rPr>
          <w:b/>
        </w:rPr>
      </w:pPr>
      <w:proofErr w:type="gramStart"/>
      <w:r>
        <w:rPr>
          <w:b/>
        </w:rPr>
        <w:t>проведенных</w:t>
      </w:r>
      <w:proofErr w:type="gramEnd"/>
      <w:r>
        <w:rPr>
          <w:b/>
        </w:rPr>
        <w:t xml:space="preserve"> отделом внутреннего контроля и аудита</w:t>
      </w:r>
    </w:p>
    <w:p>
      <w:pPr>
        <w:jc w:val="center"/>
        <w:rPr>
          <w:b/>
        </w:rPr>
      </w:pPr>
      <w:r>
        <w:rPr>
          <w:b/>
        </w:rPr>
        <w:t xml:space="preserve">Управления Федерального казначейства по Республике Хакасия </w:t>
      </w:r>
    </w:p>
    <w:p>
      <w:pPr>
        <w:jc w:val="center"/>
        <w:rPr>
          <w:b/>
        </w:rPr>
      </w:pPr>
      <w:r>
        <w:rPr>
          <w:b/>
        </w:rPr>
        <w:t>в 1 полугодии 2017 года</w:t>
      </w:r>
    </w:p>
    <w:p>
      <w:pPr>
        <w:jc w:val="center"/>
      </w:pP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Годового плана внутреннего контроля и внутреннего аудита на 2017 год Управления Федерального казначейства по Республике Хакасия (далее – Управление) и во исполнение приказов Управления, в соответствии с утвержденными программами проверок в 1 полугодии 2017 года отделом внутреннего контроля и аудита Управления проведено 14 контрольных мероприятий, в том числе:</w:t>
      </w:r>
    </w:p>
    <w:p>
      <w:pPr>
        <w:pStyle w:val="Iniiaiieoaeno2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 Четыре комплексные проверки деятельности по исполнению государственных функций и полномочий </w:t>
      </w:r>
      <w:r>
        <w:rPr>
          <w:bCs/>
          <w:sz w:val="28"/>
          <w:szCs w:val="28"/>
        </w:rPr>
        <w:t xml:space="preserve">в </w:t>
      </w:r>
      <w:r>
        <w:rPr>
          <w:sz w:val="28"/>
          <w:szCs w:val="28"/>
        </w:rPr>
        <w:t>Отделе № 1, Отделе № 6, Отделе № 7, Отделе № 5.</w:t>
      </w:r>
    </w:p>
    <w:p>
      <w:pPr>
        <w:ind w:firstLine="709"/>
        <w:jc w:val="both"/>
      </w:pPr>
      <w:r>
        <w:t>В ходе комплексных проверок проверялись следующие направления деятельности:</w:t>
      </w:r>
    </w:p>
    <w:p>
      <w:pPr>
        <w:ind w:firstLine="720"/>
        <w:jc w:val="both"/>
        <w:rPr>
          <w:color w:val="000000"/>
          <w:spacing w:val="2"/>
        </w:rPr>
      </w:pPr>
      <w:r>
        <w:rPr>
          <w:color w:val="000000"/>
          <w:spacing w:val="2"/>
        </w:rPr>
        <w:t>организации и осуществления электронных расчетов в системе банковских расчетов между Управлением и подразделением Центрального банка Российской Федерации, кредитными организациями;</w:t>
      </w:r>
    </w:p>
    <w:p>
      <w:pPr>
        <w:ind w:firstLine="720"/>
        <w:jc w:val="both"/>
        <w:rPr>
          <w:color w:val="000000"/>
        </w:rPr>
      </w:pPr>
      <w:r>
        <w:rPr>
          <w:color w:val="000000"/>
          <w:spacing w:val="2"/>
        </w:rPr>
        <w:t xml:space="preserve">осуществления и учета операций со средствами федерального бюджета, средствами дополнительного бюджетного финансирования, средствами, поступающими во временное распоряжение получателей средств федерального бюджета, средствами для финансирования мероприятий по оперативно-розыскной </w:t>
      </w:r>
      <w:r>
        <w:rPr>
          <w:color w:val="000000"/>
        </w:rPr>
        <w:t xml:space="preserve">деятельности и средствами федеральных бюджетных (автономных) учреждений и иных </w:t>
      </w:r>
      <w:proofErr w:type="spellStart"/>
      <w:r>
        <w:rPr>
          <w:color w:val="000000"/>
        </w:rPr>
        <w:t>неучастников</w:t>
      </w:r>
      <w:proofErr w:type="spellEnd"/>
      <w:r>
        <w:rPr>
          <w:color w:val="000000"/>
        </w:rPr>
        <w:t xml:space="preserve"> бюджетного процесса;</w:t>
      </w:r>
    </w:p>
    <w:p>
      <w:pPr>
        <w:ind w:firstLine="720"/>
        <w:jc w:val="both"/>
        <w:rPr>
          <w:color w:val="000000"/>
        </w:rPr>
      </w:pPr>
      <w:r>
        <w:rPr>
          <w:color w:val="000000"/>
        </w:rPr>
        <w:t xml:space="preserve">ведения федеральных реестров; </w:t>
      </w:r>
    </w:p>
    <w:p>
      <w:pPr>
        <w:ind w:firstLine="720"/>
        <w:jc w:val="both"/>
        <w:rPr>
          <w:color w:val="000000"/>
        </w:rPr>
      </w:pPr>
      <w:r>
        <w:rPr>
          <w:color w:val="000000"/>
        </w:rPr>
        <w:t>кассового обслуживания исполнения бюджета субъекта Российской Федерации (местных бюджетов);</w:t>
      </w:r>
    </w:p>
    <w:p>
      <w:pPr>
        <w:ind w:firstLine="720"/>
        <w:jc w:val="both"/>
        <w:rPr>
          <w:color w:val="000000"/>
        </w:rPr>
      </w:pPr>
      <w:r>
        <w:rPr>
          <w:color w:val="000000"/>
        </w:rPr>
        <w:t>информационно-технического обеспечения деятельности и технологического обеспечения деятельности;</w:t>
      </w:r>
    </w:p>
    <w:p>
      <w:pPr>
        <w:ind w:firstLine="720"/>
        <w:jc w:val="both"/>
        <w:rPr>
          <w:color w:val="000000"/>
        </w:rPr>
      </w:pPr>
      <w:r>
        <w:rPr>
          <w:color w:val="000000"/>
        </w:rPr>
        <w:t>административно-хозяйственного обеспечения деятельности;</w:t>
      </w:r>
    </w:p>
    <w:p>
      <w:pPr>
        <w:ind w:firstLine="720"/>
        <w:jc w:val="both"/>
        <w:rPr>
          <w:color w:val="000000"/>
        </w:rPr>
      </w:pPr>
      <w:r>
        <w:rPr>
          <w:color w:val="000000"/>
        </w:rPr>
        <w:t>обеспечения режима секретности и безопасности информации;</w:t>
      </w:r>
    </w:p>
    <w:p>
      <w:pPr>
        <w:ind w:firstLine="720"/>
        <w:jc w:val="both"/>
        <w:rPr>
          <w:color w:val="000000"/>
        </w:rPr>
      </w:pPr>
      <w:r>
        <w:rPr>
          <w:color w:val="000000"/>
        </w:rPr>
        <w:t>организации деятельности по мобилизационной подготовке и гражданской обороне.</w:t>
      </w:r>
    </w:p>
    <w:p>
      <w:pPr>
        <w:ind w:firstLine="709"/>
        <w:jc w:val="both"/>
        <w:rPr>
          <w:bCs/>
        </w:rPr>
      </w:pPr>
      <w:r>
        <w:rPr>
          <w:bCs/>
        </w:rPr>
        <w:t>2. Десять</w:t>
      </w:r>
      <w:bookmarkStart w:id="0" w:name="_GoBack"/>
      <w:bookmarkEnd w:id="0"/>
      <w:r>
        <w:rPr>
          <w:bCs/>
        </w:rPr>
        <w:t xml:space="preserve"> тематических проверок в следующих отделах Управления:</w:t>
      </w:r>
    </w:p>
    <w:p>
      <w:pPr>
        <w:ind w:firstLine="709"/>
        <w:jc w:val="both"/>
        <w:rPr>
          <w:bCs/>
        </w:rPr>
      </w:pPr>
      <w:r>
        <w:rPr>
          <w:bCs/>
        </w:rPr>
        <w:t>- </w:t>
      </w:r>
      <w:r>
        <w:t>Отдел ведения федеральных реестров</w:t>
      </w:r>
      <w:r>
        <w:rPr>
          <w:bCs/>
        </w:rPr>
        <w:t>;</w:t>
      </w:r>
    </w:p>
    <w:p>
      <w:pPr>
        <w:ind w:firstLine="709"/>
        <w:jc w:val="both"/>
        <w:rPr>
          <w:bCs/>
        </w:rPr>
      </w:pPr>
      <w:r>
        <w:rPr>
          <w:bCs/>
        </w:rPr>
        <w:t xml:space="preserve">- Операционный отдел </w:t>
      </w:r>
      <w:r>
        <w:rPr>
          <w:bCs/>
        </w:rPr>
        <w:t>(2 проверки)</w:t>
      </w:r>
      <w:r>
        <w:rPr>
          <w:bCs/>
        </w:rPr>
        <w:t>;</w:t>
      </w:r>
    </w:p>
    <w:p>
      <w:pPr>
        <w:ind w:firstLine="709"/>
        <w:jc w:val="both"/>
        <w:rPr>
          <w:bCs/>
        </w:rPr>
      </w:pPr>
      <w:r>
        <w:rPr>
          <w:bCs/>
        </w:rPr>
        <w:t>- </w:t>
      </w:r>
      <w:r>
        <w:t>Отдел № 2</w:t>
      </w:r>
      <w:r>
        <w:rPr>
          <w:bCs/>
        </w:rPr>
        <w:t>;</w:t>
      </w:r>
    </w:p>
    <w:p>
      <w:pPr>
        <w:ind w:firstLine="709"/>
        <w:jc w:val="both"/>
        <w:rPr>
          <w:bCs/>
        </w:rPr>
      </w:pPr>
      <w:r>
        <w:rPr>
          <w:bCs/>
        </w:rPr>
        <w:t>- Отдел кассового обслуживания исполнения бюджетов;</w:t>
      </w:r>
    </w:p>
    <w:p>
      <w:pPr>
        <w:ind w:firstLine="709"/>
        <w:jc w:val="both"/>
        <w:rPr>
          <w:bCs/>
        </w:rPr>
      </w:pPr>
      <w:r>
        <w:rPr>
          <w:bCs/>
        </w:rPr>
        <w:t>- Отдел доходов;</w:t>
      </w:r>
    </w:p>
    <w:p>
      <w:pPr>
        <w:ind w:firstLine="709"/>
        <w:jc w:val="both"/>
        <w:rPr>
          <w:bCs/>
        </w:rPr>
      </w:pPr>
      <w:r>
        <w:rPr>
          <w:bCs/>
        </w:rPr>
        <w:t>- Отдел расходов;</w:t>
      </w:r>
    </w:p>
    <w:p>
      <w:pPr>
        <w:ind w:firstLine="709"/>
        <w:jc w:val="both"/>
        <w:rPr>
          <w:bCs/>
        </w:rPr>
      </w:pPr>
      <w:r>
        <w:rPr>
          <w:bCs/>
        </w:rPr>
        <w:t>- Отдел финансового обеспечения;</w:t>
      </w:r>
    </w:p>
    <w:p>
      <w:pPr>
        <w:ind w:firstLine="709"/>
        <w:jc w:val="both"/>
        <w:rPr>
          <w:bCs/>
        </w:rPr>
      </w:pPr>
      <w:r>
        <w:rPr>
          <w:bCs/>
        </w:rPr>
        <w:t>- Административный отдел;</w:t>
      </w:r>
    </w:p>
    <w:p>
      <w:pPr>
        <w:ind w:firstLine="709"/>
        <w:jc w:val="both"/>
        <w:rPr>
          <w:bCs/>
        </w:rPr>
      </w:pPr>
      <w:r>
        <w:rPr>
          <w:bCs/>
        </w:rPr>
        <w:t>- Отдел № 11.</w:t>
      </w:r>
    </w:p>
    <w:p>
      <w:pPr>
        <w:ind w:firstLine="709"/>
        <w:jc w:val="both"/>
        <w:rPr>
          <w:bCs/>
        </w:rPr>
      </w:pPr>
      <w:r>
        <w:rPr>
          <w:bCs/>
        </w:rPr>
        <w:lastRenderedPageBreak/>
        <w:t>Кроме того, проведена 1 внеплановая проверка деятельности отдела ведения федеральных реестров.</w:t>
      </w:r>
    </w:p>
    <w:p>
      <w:pPr>
        <w:pStyle w:val="Iniiaiieoaeno2"/>
        <w:ind w:firstLine="709"/>
        <w:rPr>
          <w:sz w:val="28"/>
          <w:szCs w:val="28"/>
        </w:rPr>
      </w:pPr>
      <w:r>
        <w:rPr>
          <w:bCs/>
          <w:sz w:val="28"/>
          <w:szCs w:val="28"/>
        </w:rPr>
        <w:t xml:space="preserve">По результатам рассмотрения </w:t>
      </w:r>
      <w:r>
        <w:rPr>
          <w:sz w:val="28"/>
          <w:szCs w:val="28"/>
        </w:rPr>
        <w:t>Актов проверок руководителю Управления представлены Отчеты о результатах проверок.</w:t>
      </w:r>
    </w:p>
    <w:p>
      <w:pPr>
        <w:ind w:firstLine="709"/>
        <w:jc w:val="both"/>
        <w:rPr>
          <w:bCs/>
        </w:rPr>
      </w:pPr>
      <w:proofErr w:type="gramStart"/>
      <w:r>
        <w:rPr>
          <w:bCs/>
        </w:rPr>
        <w:t>В тринадцать отделов Управления (</w:t>
      </w:r>
      <w:r>
        <w:t>Отдел № 1</w:t>
      </w:r>
      <w:r>
        <w:rPr>
          <w:bCs/>
        </w:rPr>
        <w:t xml:space="preserve">, </w:t>
      </w:r>
      <w:r>
        <w:t xml:space="preserve">Отдел № 2, Отдел № 6, </w:t>
      </w:r>
      <w:r>
        <w:t>Отдел № 7, Отдел № 5</w:t>
      </w:r>
      <w:r>
        <w:t>, о</w:t>
      </w:r>
      <w:r>
        <w:rPr>
          <w:bCs/>
        </w:rPr>
        <w:t>тдел кассового обслуживания исполнения бюджетов, о</w:t>
      </w:r>
      <w:r>
        <w:rPr>
          <w:bCs/>
        </w:rPr>
        <w:t>тдел доходов</w:t>
      </w:r>
      <w:r>
        <w:rPr>
          <w:bCs/>
        </w:rPr>
        <w:t>, о</w:t>
      </w:r>
      <w:r>
        <w:rPr>
          <w:bCs/>
        </w:rPr>
        <w:t>тдел расходов</w:t>
      </w:r>
      <w:r>
        <w:rPr>
          <w:bCs/>
        </w:rPr>
        <w:t>, о</w:t>
      </w:r>
      <w:r>
        <w:rPr>
          <w:bCs/>
        </w:rPr>
        <w:t>тдел финансового обеспечения</w:t>
      </w:r>
      <w:r>
        <w:rPr>
          <w:bCs/>
        </w:rPr>
        <w:t>, а</w:t>
      </w:r>
      <w:r>
        <w:rPr>
          <w:bCs/>
        </w:rPr>
        <w:t>дминистративный отдел</w:t>
      </w:r>
      <w:r>
        <w:rPr>
          <w:bCs/>
        </w:rPr>
        <w:t>, о</w:t>
      </w:r>
      <w:r>
        <w:rPr>
          <w:bCs/>
        </w:rPr>
        <w:t>тдел ведения федеральных реестров</w:t>
      </w:r>
      <w:r>
        <w:rPr>
          <w:bCs/>
        </w:rPr>
        <w:t>, о</w:t>
      </w:r>
      <w:r>
        <w:t>перационный отдел</w:t>
      </w:r>
      <w:r>
        <w:t xml:space="preserve">, </w:t>
      </w:r>
      <w:r>
        <w:rPr>
          <w:bCs/>
        </w:rPr>
        <w:t>Отдел № 11</w:t>
      </w:r>
      <w:r>
        <w:rPr>
          <w:bCs/>
        </w:rPr>
        <w:t>)</w:t>
      </w:r>
      <w:r>
        <w:t xml:space="preserve"> направлено 13 информационных писем (указаний), содержащих сведения о необходимости устранения выявленных нарушений (недостатков) и предписывающие обеспечение выполнения необходимых мероприятий по устранению выявленных нарушений (недостатков</w:t>
      </w:r>
      <w:proofErr w:type="gramEnd"/>
      <w:r>
        <w:t>) и недопущения их в дальнейшей деятельности</w:t>
      </w:r>
      <w:r>
        <w:rPr>
          <w:bCs/>
        </w:rPr>
        <w:t>.</w:t>
      </w:r>
    </w:p>
    <w:p>
      <w:pPr>
        <w:jc w:val="both"/>
        <w:rPr>
          <w:bCs/>
        </w:rPr>
      </w:pPr>
    </w:p>
    <w:p>
      <w:pPr>
        <w:jc w:val="both"/>
        <w:rPr>
          <w:bCs/>
        </w:rPr>
      </w:pPr>
    </w:p>
    <w:p>
      <w:pPr>
        <w:jc w:val="both"/>
      </w:pPr>
      <w:r>
        <w:t>Начальник отдела</w:t>
      </w:r>
    </w:p>
    <w:p>
      <w:pPr>
        <w:jc w:val="both"/>
      </w:pPr>
      <w:r>
        <w:t>внутреннего контроля и аудита</w:t>
      </w:r>
    </w:p>
    <w:p>
      <w:pPr>
        <w:jc w:val="both"/>
      </w:pPr>
      <w:r>
        <w:t>УФК по Республике Хакасия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Н.А. Гончаревич</w:t>
      </w:r>
    </w:p>
    <w:sectPr>
      <w:headerReference w:type="default" r:id="rId7"/>
      <w:pgSz w:w="11906" w:h="16838"/>
      <w:pgMar w:top="1418" w:right="851" w:bottom="1247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a4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  \* MERGEFORMAT </w:instrText>
    </w:r>
    <w:r>
      <w:rPr>
        <w:sz w:val="24"/>
        <w:szCs w:val="24"/>
      </w:rPr>
      <w:fldChar w:fldCharType="separate"/>
    </w:r>
    <w:r>
      <w:rPr>
        <w:noProof/>
        <w:sz w:val="24"/>
        <w:szCs w:val="24"/>
      </w:rPr>
      <w:t>2</w:t>
    </w:r>
    <w:r>
      <w:rPr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drawingGridHorizontalSpacing w:val="140"/>
  <w:displayHorizontalDrawingGridEvery w:val="2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8"/>
    </w:rPr>
  </w:style>
  <w:style w:type="paragraph" w:styleId="2">
    <w:name w:val="heading 2"/>
    <w:basedOn w:val="a"/>
    <w:next w:val="a"/>
    <w:qFormat/>
    <w:pPr>
      <w:keepNext/>
      <w:ind w:firstLine="851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iiaiieoaeno2">
    <w:name w:val="Iniiaiie oaeno 2 Знак"/>
    <w:basedOn w:val="a"/>
    <w:link w:val="Iniiaiieoaeno20"/>
    <w:pPr>
      <w:autoSpaceDE w:val="0"/>
      <w:autoSpaceDN w:val="0"/>
      <w:jc w:val="both"/>
    </w:pPr>
    <w:rPr>
      <w:sz w:val="30"/>
      <w:szCs w:val="30"/>
    </w:rPr>
  </w:style>
  <w:style w:type="character" w:customStyle="1" w:styleId="Iniiaiieoaeno20">
    <w:name w:val="Iniiaiie oaeno 2 Знак Знак"/>
    <w:link w:val="Iniiaiieoaeno2"/>
    <w:rPr>
      <w:sz w:val="30"/>
      <w:szCs w:val="30"/>
      <w:lang w:val="ru-RU" w:eastAsia="ru-RU" w:bidi="ar-SA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Pr>
      <w:sz w:val="28"/>
      <w:szCs w:val="28"/>
    </w:r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Pr>
      <w:sz w:val="28"/>
      <w:szCs w:val="28"/>
    </w:rPr>
  </w:style>
  <w:style w:type="paragraph" w:customStyle="1" w:styleId="ConsPlusNormal">
    <w:name w:val="ConsPlusNormal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eastAsiaTheme="minorHAnsi" w:hAnsi="Courier New" w:cs="Courier New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8"/>
    </w:rPr>
  </w:style>
  <w:style w:type="paragraph" w:styleId="2">
    <w:name w:val="heading 2"/>
    <w:basedOn w:val="a"/>
    <w:next w:val="a"/>
    <w:qFormat/>
    <w:pPr>
      <w:keepNext/>
      <w:ind w:firstLine="851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iiaiieoaeno2">
    <w:name w:val="Iniiaiie oaeno 2 Знак"/>
    <w:basedOn w:val="a"/>
    <w:link w:val="Iniiaiieoaeno20"/>
    <w:pPr>
      <w:autoSpaceDE w:val="0"/>
      <w:autoSpaceDN w:val="0"/>
      <w:jc w:val="both"/>
    </w:pPr>
    <w:rPr>
      <w:sz w:val="30"/>
      <w:szCs w:val="30"/>
    </w:rPr>
  </w:style>
  <w:style w:type="character" w:customStyle="1" w:styleId="Iniiaiieoaeno20">
    <w:name w:val="Iniiaiie oaeno 2 Знак Знак"/>
    <w:link w:val="Iniiaiieoaeno2"/>
    <w:rPr>
      <w:sz w:val="30"/>
      <w:szCs w:val="30"/>
      <w:lang w:val="ru-RU" w:eastAsia="ru-RU" w:bidi="ar-SA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Pr>
      <w:sz w:val="28"/>
      <w:szCs w:val="28"/>
    </w:r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Pr>
      <w:sz w:val="28"/>
      <w:szCs w:val="28"/>
    </w:rPr>
  </w:style>
  <w:style w:type="paragraph" w:customStyle="1" w:styleId="ConsPlusNormal">
    <w:name w:val="ConsPlusNormal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eastAsiaTheme="minorHAnsi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</Pages>
  <Words>348</Words>
  <Characters>2607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</vt:lpstr>
    </vt:vector>
  </TitlesOfParts>
  <Company>UFK</Company>
  <LinksUpToDate>false</LinksUpToDate>
  <CharactersWithSpaces>2950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</dc:title>
  <dc:subject/>
  <dc:creator>BerngartdIV</dc:creator>
  <cp:keywords/>
  <dc:description/>
  <cp:lastModifiedBy>Каплунова Ольга Вадимовна</cp:lastModifiedBy>
  <cp:revision>12</cp:revision>
  <cp:lastPrinted>2017-04-18T03:13:00Z</cp:lastPrinted>
  <dcterms:created xsi:type="dcterms:W3CDTF">2016-10-15T06:01:00Z</dcterms:created>
  <dcterms:modified xsi:type="dcterms:W3CDTF">2017-07-05T04:33:00Z</dcterms:modified>
</cp:coreProperties>
</file>