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операционного отдела</w:t>
      </w:r>
      <w:bookmarkStart w:id="0" w:name="_GoBack"/>
      <w:bookmarkEnd w:id="0"/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widowControl w:val="0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09 по 20 января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</w:t>
      </w:r>
      <w:r>
        <w:rPr>
          <w:spacing w:val="-4"/>
          <w:sz w:val="28"/>
          <w:szCs w:val="28"/>
        </w:rPr>
        <w:t xml:space="preserve">тематическая </w:t>
      </w:r>
      <w:r>
        <w:rPr>
          <w:sz w:val="28"/>
          <w:szCs w:val="28"/>
        </w:rPr>
        <w:t xml:space="preserve">проверка деятельности операционного отдела </w:t>
      </w:r>
      <w:r>
        <w:rPr>
          <w:spacing w:val="-4"/>
          <w:sz w:val="28"/>
          <w:szCs w:val="28"/>
        </w:rPr>
        <w:t>по исполнению государственных функций и полномочий за 2016 год.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19 января 2017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4</cp:revision>
  <dcterms:created xsi:type="dcterms:W3CDTF">2017-09-22T10:29:00Z</dcterms:created>
  <dcterms:modified xsi:type="dcterms:W3CDTF">2017-09-22T10:30:00Z</dcterms:modified>
</cp:coreProperties>
</file>